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media/image25.webp" ContentType="image/webp"/>
  <Override PartName="/word/media/image26.webp" ContentType="image/webp"/>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ascii="Microsoft YaHei UI" w:hAnsi="Microsoft YaHei UI" w:eastAsia="Microsoft YaHei UI" w:cs="Microsoft YaHei UI"/>
          <w:i w:val="0"/>
          <w:iCs w:val="0"/>
          <w:caps w:val="0"/>
          <w:spacing w:val="9"/>
          <w:sz w:val="25"/>
          <w:szCs w:val="25"/>
        </w:rPr>
      </w:pPr>
      <w:r>
        <w:rPr>
          <w:color w:val="FFFFFF"/>
        </w:rPr>
        <w:t>// 编译：240884432</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color w:val="000000"/>
          <w:spacing w:val="8"/>
          <w:sz w:val="25"/>
          <w:szCs w:val="25"/>
          <w:bdr w:val="none" w:color="auto" w:sz="0" w:space="0"/>
          <w:shd w:val="clear" w:fill="FFFFFF"/>
        </w:rPr>
        <w:t>我们发现历史策略里没有用到boll指标构建的策略，今天发布的专享策略10是基于boll指标、boll极限、极限宽指标构建的。策略有两个版本，第一个版本是对布林策略的魔改，第二个版本是Boll+BB+BBW指标群的组合使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color w:val="000000"/>
          <w:spacing w:val="8"/>
          <w:sz w:val="25"/>
          <w:szCs w:val="25"/>
          <w:bdr w:val="none" w:color="auto" w:sz="0" w:space="0"/>
          <w:shd w:val="clear" w:fill="FFFFFF"/>
        </w:rPr>
        <w:t>首先我们来了解一下这三个指标：</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36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5"/>
          <w:szCs w:val="25"/>
          <w:bdr w:val="none" w:color="auto" w:sz="0" w:space="0"/>
        </w:rPr>
        <w:t>1.</w:t>
      </w:r>
      <w:r>
        <w:rPr>
          <w:rFonts w:hint="eastAsia" w:ascii="Microsoft YaHei UI" w:hAnsi="Microsoft YaHei UI" w:eastAsia="Microsoft YaHei UI" w:cs="Microsoft YaHei UI"/>
          <w:i w:val="0"/>
          <w:iCs w:val="0"/>
          <w:caps w:val="0"/>
          <w:spacing w:val="9"/>
          <w:sz w:val="25"/>
          <w:szCs w:val="25"/>
          <w:bdr w:val="none" w:color="auto" w:sz="0" w:space="0"/>
        </w:rPr>
        <w:t>Bollinger Bands (布林带) 是一种技术指标，用于衡量价格波动的波动性和潜在的价格趋势。它由三条线组成：</w:t>
      </w:r>
    </w:p>
    <w:p>
      <w:pPr>
        <w:pStyle w:val="5"/>
        <w:keepNext w:val="0"/>
        <w:keepLines w:val="0"/>
        <w:widowControl/>
        <w:suppressLineNumbers w:val="0"/>
        <w:pBdr>
          <w:top w:val="single" w:color="F0F0F0" w:sz="6" w:space="10"/>
          <w:left w:val="single" w:color="F0F0F0" w:sz="6" w:space="31"/>
          <w:bottom w:val="single" w:color="F0F0F0" w:sz="6" w:space="10"/>
          <w:right w:val="single" w:color="F0F0F0" w:sz="6" w:space="10"/>
        </w:pBdr>
        <w:shd w:val="clear" w:fill="FAFAFA"/>
        <w:spacing w:before="150" w:beforeAutospacing="0" w:after="150" w:afterAutospacing="0"/>
        <w:ind w:left="0" w:right="0" w:firstLine="0"/>
        <w:jc w:val="both"/>
        <w:rPr>
          <w:i w:val="0"/>
          <w:iCs w:val="0"/>
          <w:caps w:val="0"/>
          <w:color w:val="333333"/>
          <w:spacing w:val="9"/>
          <w:sz w:val="21"/>
          <w:szCs w:val="21"/>
        </w:rPr>
      </w:pPr>
      <w:r>
        <w:rPr>
          <w:rFonts w:ascii="Consolas" w:hAnsi="Consolas" w:eastAsia="Consolas" w:cs="Consolas"/>
          <w:i w:val="0"/>
          <w:iCs w:val="0"/>
          <w:caps w:val="0"/>
          <w:color w:val="333333"/>
          <w:spacing w:val="9"/>
          <w:sz w:val="21"/>
          <w:szCs w:val="21"/>
          <w:bdr w:val="none" w:color="auto" w:sz="0" w:space="0"/>
          <w:shd w:val="clear" w:fill="FAFAFA"/>
        </w:rPr>
        <w:t>import numpy as np</w:t>
      </w:r>
      <w:r>
        <w:rPr>
          <w:rFonts w:hint="default" w:ascii="Consolas" w:hAnsi="Consolas" w:eastAsia="Consolas" w:cs="Consolas"/>
          <w:i w:val="0"/>
          <w:iCs w:val="0"/>
          <w:caps w:val="0"/>
          <w:color w:val="333333"/>
          <w:spacing w:val="9"/>
          <w:sz w:val="21"/>
          <w:szCs w:val="21"/>
          <w:bdr w:val="none" w:color="auto" w:sz="0" w:space="0"/>
          <w:shd w:val="clear" w:fill="FAFAFA"/>
        </w:rPr>
        <w:t>​def bollinger_bands(close_prices, window=20, std_dev=2):    """    计算布林带指标的函数。​    参数：    close_prices: 收盘价序列，类型为列表或数组。    window: 移动平均线的窗口大小，默认为20。    std_dev: 标准差的倍数，默认为2。​    返回值：    middle_band: 中轨线序列。    upper_band: 上轨线序列。    lower_band: 下轨线序列。    """    close_prices = np.array(close_prices)    middle_band = np.convolve(close_prices, np.ones(window)/window, mode='valid')    std = np.std(close_prices[-window:])    upper_band = middle_band + std_dev * std    lower_band = middle_band - std_dev * std    return middle_band, upper_band, lower_band​# 示例收盘价数据close_prices = [100, 105, 110, 115, 120, 125, 130, 135, 140, 145]​# 计算布林带middle_band, upper_band, lower_band = bollinger_bands(close_prices)​# 打印结果print("中轨线：", middle_band)print("上轨线：", upper_band)print("下轨线：", lower_band)​</w:t>
      </w: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36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keepNext w:val="0"/>
        <w:keepLines w:val="0"/>
        <w:widowControl/>
        <w:suppressLineNumbers w:val="0"/>
        <w:jc w:val="left"/>
      </w:pPr>
      <w:r>
        <w:rPr>
          <w:rStyle w:val="9"/>
          <w:rFonts w:ascii="Segoe UI" w:hAnsi="Segoe UI" w:eastAsia="Segoe UI" w:cs="Segoe UI"/>
          <w:color w:val="0D0D0D"/>
          <w:spacing w:val="0"/>
          <w:kern w:val="0"/>
          <w:sz w:val="24"/>
          <w:szCs w:val="24"/>
          <w:bdr w:val="none" w:color="auto" w:sz="0" w:space="0"/>
          <w:shd w:val="clear" w:fill="FFFFFF"/>
          <w:lang w:val="en-US" w:eastAsia="zh-CN" w:bidi="ar"/>
        </w:rPr>
        <w:t>2.</w:t>
      </w:r>
      <w:r>
        <w:rPr>
          <w:rFonts w:hint="default" w:ascii="Segoe UI" w:hAnsi="Segoe UI" w:eastAsia="Segoe UI" w:cs="Segoe UI"/>
          <w:color w:val="0D0D0D"/>
          <w:spacing w:val="0"/>
          <w:kern w:val="0"/>
          <w:sz w:val="24"/>
          <w:szCs w:val="24"/>
          <w:bdr w:val="none" w:color="auto" w:sz="0" w:space="0"/>
          <w:shd w:val="clear" w:fill="FFFFFF"/>
          <w:lang w:val="en-US" w:eastAsia="zh-CN" w:bidi="ar"/>
        </w:rPr>
        <w:t>布林极限指标（%BB）是从布林线（Bollinger Bands，简称BB）衍生出来的，主要用于辅助布林带指标辨别股价的买卖点。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2971800" cy="552450"/>
            <wp:effectExtent l="0" t="0" r="0" b="0"/>
            <wp:docPr id="1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IMG_256"/>
                    <pic:cNvPicPr>
                      <a:picLocks noChangeAspect="1"/>
                    </pic:cNvPicPr>
                  </pic:nvPicPr>
                  <pic:blipFill>
                    <a:blip r:embed="rId4"/>
                    <a:stretch>
                      <a:fillRect/>
                    </a:stretch>
                  </pic:blipFill>
                  <pic:spPr>
                    <a:xfrm>
                      <a:off x="0" y="0"/>
                      <a:ext cx="2971800" cy="552450"/>
                    </a:xfrm>
                    <a:prstGeom prst="rect">
                      <a:avLst/>
                    </a:prstGeom>
                    <a:noFill/>
                    <a:ln w="9525">
                      <a:noFill/>
                    </a:ln>
                  </pic:spPr>
                </pic:pic>
              </a:graphicData>
            </a:graphic>
          </wp:inline>
        </w:drawing>
      </w: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36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其中，%BB 表示布林极限指标，收盘价是当日的收盘价格，布林线上轨价格和布林线下轨价格分别是布林带指标的上轨线和下轨线价格。</w:t>
      </w: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36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这个指标的取值范围一般在0到1之间，当 %BB 值接近1时，表示股价接近布林带的上轨，可能表明市场处于超买状态，可能出现回档调整，发出卖出信号；当 %BB 值接近0时，表示股价接近布林带的下轨，可能表明市场处于超卖状态，可能出现反弹，发出买入信号。</w:t>
      </w:r>
    </w:p>
    <w:p>
      <w:pPr>
        <w:pStyle w:val="5"/>
        <w:keepNext w:val="0"/>
        <w:keepLines w:val="0"/>
        <w:widowControl/>
        <w:suppressLineNumbers w:val="0"/>
        <w:pBdr>
          <w:top w:val="single" w:color="F0F0F0" w:sz="6" w:space="10"/>
          <w:left w:val="single" w:color="F0F0F0" w:sz="6" w:space="31"/>
          <w:bottom w:val="single" w:color="F0F0F0" w:sz="6" w:space="10"/>
          <w:right w:val="single" w:color="F0F0F0" w:sz="6" w:space="10"/>
        </w:pBdr>
        <w:shd w:val="clear" w:fill="FAFAFA"/>
        <w:spacing w:before="150" w:beforeAutospacing="0" w:after="150" w:afterAutospacing="0"/>
        <w:ind w:left="0" w:right="0" w:firstLine="0"/>
        <w:jc w:val="both"/>
        <w:rPr>
          <w:i w:val="0"/>
          <w:iCs w:val="0"/>
          <w:caps w:val="0"/>
          <w:color w:val="333333"/>
          <w:spacing w:val="9"/>
          <w:sz w:val="21"/>
          <w:szCs w:val="21"/>
        </w:rPr>
      </w:pPr>
      <w:r>
        <w:rPr>
          <w:rFonts w:hint="default" w:ascii="Consolas" w:hAnsi="Consolas" w:eastAsia="Consolas" w:cs="Consolas"/>
          <w:i w:val="0"/>
          <w:iCs w:val="0"/>
          <w:caps w:val="0"/>
          <w:color w:val="333333"/>
          <w:spacing w:val="9"/>
          <w:sz w:val="21"/>
          <w:szCs w:val="21"/>
          <w:bdr w:val="none" w:color="auto" w:sz="0" w:space="0"/>
          <w:shd w:val="clear" w:fill="FAFAFA"/>
        </w:rPr>
        <w:t>import numpy as np​def bollinger_band(close_prices, upper_band, lower_band):    """    计算布林极限指标（%BB）的函数。​    参数：    close_prices: 收盘价序列，类型为列表或数组。    upper_band: 布林带上轨线序列，类型为列表或数组。    lower_band: 布林带下轨线序列，类型为列表或数组。​    返回值：    bb_percentage: 布林极限指标（%BB）序列。    """    close_prices = np.array(close_prices)    upper_band = np.array(upper_band)    lower_band = np.array(lower_band)    bb_percentage = (close_prices - lower_band) / (upper_band - lower_band)    return bb_percentage​# 示例收盘价数据close_prices = [100, 105, 110, 115, 120]upper_band = [110, 112, 115, 118, 120]lower_band = [90, 92, 95, 98, 100]​# 计算布林极限指标bb_percentage = bollinger_band(close_prices, upper_band, lower_band)​# 打印结果print("布林极限指标（%BB）：", bb_percentage)</w:t>
      </w: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36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single" w:color="E3E3E3" w:sz="2" w:space="0"/>
          <w:left w:val="single" w:color="E3E3E3" w:sz="2" w:space="0"/>
          <w:bottom w:val="single" w:color="E3E3E3" w:sz="2" w:space="0"/>
          <w:right w:val="single" w:color="E3E3E3" w:sz="2" w:space="0"/>
        </w:pBdr>
        <w:spacing w:before="0" w:beforeAutospacing="0" w:after="36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5"/>
          <w:szCs w:val="25"/>
          <w:bdr w:val="none" w:color="auto" w:sz="0" w:space="0"/>
        </w:rPr>
        <w:t>3.</w:t>
      </w:r>
      <w:r>
        <w:rPr>
          <w:rFonts w:hint="eastAsia" w:ascii="Microsoft YaHei UI" w:hAnsi="Microsoft YaHei UI" w:eastAsia="Microsoft YaHei UI" w:cs="Microsoft YaHei UI"/>
          <w:i w:val="0"/>
          <w:iCs w:val="0"/>
          <w:caps w:val="0"/>
          <w:spacing w:val="9"/>
          <w:sz w:val="25"/>
          <w:szCs w:val="25"/>
          <w:bdr w:val="none" w:color="auto" w:sz="0" w:space="0"/>
        </w:rPr>
        <w:t>布林极限宽度指标（Bollinger Band Width）是基于布林带的一个衡量指标，用于量化布林带的宽度。它是布林带上轨线和下轨线之间距离的一种度量，通常以标准差倍数的形式表示。</w:t>
      </w:r>
      <w:r>
        <w:rPr>
          <w:rStyle w:val="9"/>
          <w:rFonts w:hint="default" w:ascii="Segoe UI" w:hAnsi="Segoe UI" w:eastAsia="Segoe UI" w:cs="Segoe UI"/>
          <w:i w:val="0"/>
          <w:iCs w:val="0"/>
          <w:caps w:val="0"/>
          <w:color w:val="0D0D0D"/>
          <w:spacing w:val="0"/>
          <w:sz w:val="24"/>
          <w:szCs w:val="24"/>
          <w:bdr w:val="none" w:color="auto" w:sz="0" w:space="0"/>
          <w:shd w:val="clear" w:fill="FFFFFF"/>
        </w:rPr>
        <w:t>布林带宽度指标提供了市场波动性的度量，当带宽收窄时，表示市场波动性较低，可能预示着趋势即将出现；而当带宽扩大时，表示市场波动性较高，可能预示着价格的大幅度波动。因此，布林极限宽度指标可用于识别市场波动性的变化。</w:t>
      </w:r>
    </w:p>
    <w:p>
      <w:pPr>
        <w:pStyle w:val="5"/>
        <w:keepNext w:val="0"/>
        <w:keepLines w:val="0"/>
        <w:widowControl/>
        <w:suppressLineNumbers w:val="0"/>
        <w:pBdr>
          <w:top w:val="single" w:color="F0F0F0" w:sz="6" w:space="10"/>
          <w:left w:val="single" w:color="F0F0F0" w:sz="6" w:space="31"/>
          <w:bottom w:val="single" w:color="F0F0F0" w:sz="6" w:space="10"/>
          <w:right w:val="single" w:color="F0F0F0" w:sz="6" w:space="10"/>
        </w:pBdr>
        <w:shd w:val="clear" w:fill="FAFAFA"/>
        <w:spacing w:before="150" w:beforeAutospacing="0" w:after="150" w:afterAutospacing="0"/>
        <w:ind w:left="0" w:right="0" w:firstLine="0"/>
        <w:jc w:val="both"/>
        <w:rPr>
          <w:i w:val="0"/>
          <w:iCs w:val="0"/>
          <w:caps w:val="0"/>
          <w:color w:val="333333"/>
          <w:spacing w:val="9"/>
          <w:sz w:val="21"/>
          <w:szCs w:val="21"/>
        </w:rPr>
      </w:pPr>
      <w:r>
        <w:rPr>
          <w:rFonts w:hint="default" w:ascii="Consolas" w:hAnsi="Consolas" w:eastAsia="Consolas" w:cs="Consolas"/>
          <w:i w:val="0"/>
          <w:iCs w:val="0"/>
          <w:caps w:val="0"/>
          <w:color w:val="333333"/>
          <w:spacing w:val="9"/>
          <w:sz w:val="21"/>
          <w:szCs w:val="21"/>
          <w:bdr w:val="none" w:color="auto" w:sz="0" w:space="0"/>
          <w:shd w:val="clear" w:fill="FAFAFA"/>
        </w:rPr>
        <w:t>def bollinger_band_width(upper_band, lower_band, middle_band):    """    计算布林带宽度指标的函数。​    参数：    upper_band: 上轨线序列，类型为列表或数组。    lower_band: 下轨线序列，类型为列表或数组。    middle_band: 中轨线序列，类型为列表或数组。​    返回值：    band_width: 布林带宽度序列。    """    upper_band = np.array(upper_band)    lower_band = np.array(lower_band)    middle_band = np.array(middle_band)    band_width = ((upper_band - lower_band) / middle_band) * 100    return band_width​# 示例数据upper_band = [110, 112, 115, 118, 120]lower_band = [90, 92, 95, 98, 100]middle_band = [100, 102, 105, 108, 110]# 计算布林带宽度band_width = bollinger_band_width(upper_band, lower_band, middle_band)# 打印结果print("布林带宽度：", band_width)</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OK，下面我们来介绍专享10的两个策略版本，第一个BOLL魔改版本：</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布林线指标本身是一个非常棒的指标，它用最简单的思路把</w:t>
      </w:r>
      <w:r>
        <w:rPr>
          <w:rStyle w:val="9"/>
          <w:rFonts w:hint="eastAsia" w:ascii="Microsoft YaHei UI" w:hAnsi="Microsoft YaHei UI" w:eastAsia="Microsoft YaHei UI" w:cs="Microsoft YaHei UI"/>
          <w:i w:val="0"/>
          <w:iCs w:val="0"/>
          <w:caps w:val="0"/>
          <w:spacing w:val="9"/>
          <w:sz w:val="25"/>
          <w:szCs w:val="25"/>
          <w:bdr w:val="none" w:color="auto" w:sz="0" w:space="0"/>
        </w:rPr>
        <w:t>趋势，波动率，区间突破</w:t>
      </w:r>
      <w:r>
        <w:rPr>
          <w:rFonts w:hint="eastAsia" w:ascii="Microsoft YaHei UI" w:hAnsi="Microsoft YaHei UI" w:eastAsia="Microsoft YaHei UI" w:cs="Microsoft YaHei UI"/>
          <w:i w:val="0"/>
          <w:iCs w:val="0"/>
          <w:caps w:val="0"/>
          <w:spacing w:val="9"/>
          <w:sz w:val="25"/>
          <w:szCs w:val="25"/>
          <w:bdr w:val="none" w:color="auto" w:sz="0" w:space="0"/>
        </w:rPr>
        <w:t>描述了出来，只要稍加修改就能取得不错的收益。它也有一些缺点，比如区间策略常见的弊病</w:t>
      </w:r>
      <w:r>
        <w:rPr>
          <w:rStyle w:val="9"/>
          <w:rFonts w:hint="eastAsia" w:ascii="Microsoft YaHei UI" w:hAnsi="Microsoft YaHei UI" w:eastAsia="Microsoft YaHei UI" w:cs="Microsoft YaHei UI"/>
          <w:i w:val="0"/>
          <w:iCs w:val="0"/>
          <w:caps w:val="0"/>
          <w:spacing w:val="9"/>
          <w:sz w:val="25"/>
          <w:szCs w:val="25"/>
          <w:bdr w:val="none" w:color="auto" w:sz="0" w:space="0"/>
        </w:rPr>
        <w:t>“假突破”</w:t>
      </w:r>
      <w:r>
        <w:rPr>
          <w:rFonts w:hint="eastAsia" w:ascii="Microsoft YaHei UI" w:hAnsi="Microsoft YaHei UI" w:eastAsia="Microsoft YaHei UI" w:cs="Microsoft YaHei UI"/>
          <w:i w:val="0"/>
          <w:iCs w:val="0"/>
          <w:caps w:val="0"/>
          <w:spacing w:val="9"/>
          <w:sz w:val="25"/>
          <w:szCs w:val="25"/>
          <w:bdr w:val="none" w:color="auto" w:sz="0" w:space="0"/>
        </w:rPr>
        <w:t>，正如下图：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4867275"/>
            <wp:effectExtent l="0" t="0" r="0" b="9525"/>
            <wp:docPr id="1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IMG_257"/>
                    <pic:cNvPicPr>
                      <a:picLocks noChangeAspect="1"/>
                    </pic:cNvPicPr>
                  </pic:nvPicPr>
                  <pic:blipFill>
                    <a:blip r:embed="rId5"/>
                    <a:stretch>
                      <a:fillRect/>
                    </a:stretch>
                  </pic:blipFill>
                  <pic:spPr>
                    <a:xfrm>
                      <a:off x="0" y="0"/>
                      <a:ext cx="10287000" cy="48672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从上图中，我们可以肉眼观察到的信息是，波动率收窄，穿透破脚，即使肉眼可以识别是震荡，但是指标却不能”自我认识“到这个行情是震荡。因此我们需要通过</w: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begin"/>
      </w:r>
      <w:r>
        <w:rPr>
          <w:rFonts w:hint="eastAsia" w:ascii="Microsoft YaHei UI" w:hAnsi="Microsoft YaHei UI" w:eastAsia="Microsoft YaHei UI" w:cs="Microsoft YaHei UI"/>
          <w:i w:val="0"/>
          <w:iCs w:val="0"/>
          <w:caps w:val="0"/>
          <w:color w:val="576B95"/>
          <w:spacing w:val="9"/>
          <w:sz w:val="25"/>
          <w:szCs w:val="25"/>
          <w:u w:val="none"/>
          <w:bdr w:val="none" w:color="auto" w:sz="0" w:space="0"/>
        </w:rPr>
        <w:instrText xml:space="preserve"> HYPERLINK "https://mp.weixin.qq.com/s?__biz=MjM5MzE5NzUxNw==&amp;mid=2447867286&amp;idx=1&amp;sn=9cab040ac60e0e43726a7c15cad07310&amp;chksm=b289613485fee8228b3a8c4818ba182a405ac3ea60426bc5667eae8fc250296f6e2878e3b556&amp;token=331543387&amp;lang=zh_CN&amp;scene=21" \l "wechat_redirect" \t "_blank" </w:instrTex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separate"/>
      </w:r>
      <w:r>
        <w:rPr>
          <w:rStyle w:val="10"/>
          <w:rFonts w:hint="eastAsia" w:ascii="Microsoft YaHei UI" w:hAnsi="Microsoft YaHei UI" w:eastAsia="Microsoft YaHei UI" w:cs="Microsoft YaHei UI"/>
          <w:i w:val="0"/>
          <w:iCs w:val="0"/>
          <w:caps w:val="0"/>
          <w:color w:val="576B95"/>
          <w:spacing w:val="9"/>
          <w:sz w:val="25"/>
          <w:szCs w:val="25"/>
          <w:u w:val="none"/>
          <w:bdr w:val="none" w:color="auto" w:sz="0" w:space="0"/>
        </w:rPr>
        <w:t>松鼠Quant专享09</w: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end"/>
      </w:r>
      <w:r>
        <w:rPr>
          <w:rFonts w:hint="eastAsia" w:ascii="Microsoft YaHei UI" w:hAnsi="Microsoft YaHei UI" w:eastAsia="Microsoft YaHei UI" w:cs="Microsoft YaHei UI"/>
          <w:i w:val="0"/>
          <w:iCs w:val="0"/>
          <w:caps w:val="0"/>
          <w:spacing w:val="9"/>
          <w:sz w:val="25"/>
          <w:szCs w:val="25"/>
          <w:bdr w:val="none" w:color="auto" w:sz="0" w:space="0"/>
        </w:rPr>
        <w:t>的算法，可变均线的思路来修改布林的上中下轨道线。正如下图：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9896475" cy="4124325"/>
            <wp:effectExtent l="0" t="0" r="9525" b="9525"/>
            <wp:docPr id="1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descr="IMG_258"/>
                    <pic:cNvPicPr>
                      <a:picLocks noChangeAspect="1"/>
                    </pic:cNvPicPr>
                  </pic:nvPicPr>
                  <pic:blipFill>
                    <a:blip r:embed="rId6"/>
                    <a:stretch>
                      <a:fillRect/>
                    </a:stretch>
                  </pic:blipFill>
                  <pic:spPr>
                    <a:xfrm>
                      <a:off x="0" y="0"/>
                      <a:ext cx="9896475" cy="412432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我们发现这样修改后，布林的上中小轨道变成了平直的横线，这样我们就可以描述震荡了，即前值等于当前值即为震荡，那么问题来了，这不就是普通的高低点区间吗？当然不是！如果是简单的轨道算法，那么上图里面的突破为什么不开仓呢？，我们使用了轨道线序列的历史值来过滤震荡，请看下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4105275"/>
            <wp:effectExtent l="0" t="0" r="0" b="9525"/>
            <wp:docPr id="1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IMG_259"/>
                    <pic:cNvPicPr>
                      <a:picLocks noChangeAspect="1"/>
                    </pic:cNvPicPr>
                  </pic:nvPicPr>
                  <pic:blipFill>
                    <a:blip r:embed="rId7"/>
                    <a:stretch>
                      <a:fillRect/>
                    </a:stretch>
                  </pic:blipFill>
                  <pic:spPr>
                    <a:xfrm>
                      <a:off x="0" y="0"/>
                      <a:ext cx="10287000" cy="41052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9372600" cy="4248150"/>
            <wp:effectExtent l="0" t="0" r="0" b="0"/>
            <wp:docPr id="1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descr="IMG_260"/>
                    <pic:cNvPicPr>
                      <a:picLocks noChangeAspect="1"/>
                    </pic:cNvPicPr>
                  </pic:nvPicPr>
                  <pic:blipFill>
                    <a:blip r:embed="rId8"/>
                    <a:stretch>
                      <a:fillRect/>
                    </a:stretch>
                  </pic:blipFill>
                  <pic:spPr>
                    <a:xfrm>
                      <a:off x="0" y="0"/>
                      <a:ext cx="9372600" cy="424815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经过简单的魔改，</w:t>
      </w:r>
      <w:r>
        <w:rPr>
          <w:rStyle w:val="9"/>
          <w:rFonts w:hint="eastAsia" w:ascii="Microsoft YaHei UI" w:hAnsi="Microsoft YaHei UI" w:eastAsia="Microsoft YaHei UI" w:cs="Microsoft YaHei UI"/>
          <w:i w:val="0"/>
          <w:iCs w:val="0"/>
          <w:caps w:val="0"/>
          <w:spacing w:val="9"/>
          <w:sz w:val="25"/>
          <w:szCs w:val="25"/>
          <w:bdr w:val="none" w:color="auto" w:sz="0" w:space="0"/>
        </w:rPr>
        <w:t>无需增加参数即可减少原版布林线假突破的次数，加强过滤震荡的效果。方法普适性强，可以将这个思路转移到你自己的策略里使用，且不需要额外参数，是基于条件逻辑实现。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keepNext w:val="0"/>
        <w:keepLines w:val="0"/>
        <w:widowControl/>
        <w:suppressLineNumbers w:val="0"/>
        <w:jc w:val="left"/>
      </w:pPr>
      <w:r>
        <w:rPr>
          <w:rStyle w:val="9"/>
          <w:rFonts w:hint="default" w:ascii="Segoe UI" w:hAnsi="Segoe UI" w:eastAsia="Segoe UI" w:cs="Segoe UI"/>
          <w:color w:val="0D0D0D"/>
          <w:spacing w:val="0"/>
          <w:kern w:val="0"/>
          <w:sz w:val="30"/>
          <w:szCs w:val="30"/>
          <w:bdr w:val="none" w:color="auto" w:sz="0" w:space="0"/>
          <w:shd w:val="clear" w:fill="FFFFFF"/>
          <w:lang w:val="en-US" w:eastAsia="zh-CN" w:bidi="ar"/>
        </w:rPr>
        <w:t>布林极限指标（%BB）</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8943975" cy="6915150"/>
            <wp:effectExtent l="0" t="0" r="9525" b="0"/>
            <wp:docPr id="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icPr>
                  <pic:blipFill>
                    <a:blip r:embed="rId9"/>
                    <a:stretch>
                      <a:fillRect/>
                    </a:stretch>
                  </pic:blipFill>
                  <pic:spPr>
                    <a:xfrm>
                      <a:off x="0" y="0"/>
                      <a:ext cx="8943975" cy="691515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BB指标它是一个基于KDJ的算法改编的摆动指标，一般是低于20做多，高于80做空。但是这个是做震荡的思路，如果碰到趋势就会长期在50以上，甚至经常出现背离，如果我们按照震荡思路去做趋势的话，是肯定不行的嘛。但还有一种简单的用法，这个指标不建议单独使用，我们可以将它作为一个趋势强度的辅助指标，就是大于50%做多，小于50%做空。也就是要与趋势指标共振。</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30"/>
          <w:szCs w:val="30"/>
          <w:bdr w:val="none" w:color="auto" w:sz="0" w:space="0"/>
        </w:rPr>
        <w:t>布林极限宽度指标</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这个指标很有意思，简单来说就是去判断布林带什么时候</w:t>
      </w:r>
      <w:r>
        <w:rPr>
          <w:rStyle w:val="9"/>
          <w:rFonts w:hint="eastAsia" w:ascii="Microsoft YaHei UI" w:hAnsi="Microsoft YaHei UI" w:eastAsia="Microsoft YaHei UI" w:cs="Microsoft YaHei UI"/>
          <w:i w:val="0"/>
          <w:iCs w:val="0"/>
          <w:caps w:val="0"/>
          <w:spacing w:val="9"/>
          <w:sz w:val="25"/>
          <w:szCs w:val="25"/>
          <w:bdr w:val="none" w:color="auto" w:sz="0" w:space="0"/>
        </w:rPr>
        <w:t>“开口”，</w:t>
      </w:r>
      <w:r>
        <w:rPr>
          <w:rFonts w:hint="eastAsia" w:ascii="Microsoft YaHei UI" w:hAnsi="Microsoft YaHei UI" w:eastAsia="Microsoft YaHei UI" w:cs="Microsoft YaHei UI"/>
          <w:i w:val="0"/>
          <w:iCs w:val="0"/>
          <w:caps w:val="0"/>
          <w:spacing w:val="9"/>
          <w:sz w:val="25"/>
          <w:szCs w:val="25"/>
          <w:bdr w:val="none" w:color="auto" w:sz="0" w:space="0"/>
        </w:rPr>
        <w:t>如下图：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5867400"/>
            <wp:effectExtent l="0" t="0" r="0" b="0"/>
            <wp:docPr id="1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62"/>
                    <pic:cNvPicPr>
                      <a:picLocks noChangeAspect="1"/>
                    </pic:cNvPicPr>
                  </pic:nvPicPr>
                  <pic:blipFill>
                    <a:blip r:embed="rId10"/>
                    <a:stretch>
                      <a:fillRect/>
                    </a:stretch>
                  </pic:blipFill>
                  <pic:spPr>
                    <a:xfrm>
                      <a:off x="0" y="0"/>
                      <a:ext cx="10287000" cy="586740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当极限指标被压缩到很低的值的时候，就预示着下一步要张口了，这个和我们用ATR计算波动率的策略</w: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begin"/>
      </w:r>
      <w:r>
        <w:rPr>
          <w:rFonts w:hint="eastAsia" w:ascii="Microsoft YaHei UI" w:hAnsi="Microsoft YaHei UI" w:eastAsia="Microsoft YaHei UI" w:cs="Microsoft YaHei UI"/>
          <w:i w:val="0"/>
          <w:iCs w:val="0"/>
          <w:caps w:val="0"/>
          <w:color w:val="576B95"/>
          <w:spacing w:val="9"/>
          <w:sz w:val="25"/>
          <w:szCs w:val="25"/>
          <w:u w:val="none"/>
          <w:bdr w:val="none" w:color="auto" w:sz="0" w:space="0"/>
        </w:rPr>
        <w:instrText xml:space="preserve"> HYPERLINK "https://mp.weixin.qq.com/s?__biz=MjM5MzE5NzUxNw==&amp;mid=2447859234&amp;idx=1&amp;sn=1eb14a2eb4369fa88cf5c08c243c7c36&amp;chksm=b289428085fecb96a1e5d3b85a909c480fbe93e36c100fea598c9368a7656a156845065765e1&amp;token=331543387&amp;lang=zh_CN&amp;scene=21" \l "wechat_redirect" \t "_blank" </w:instrTex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separate"/>
      </w:r>
      <w:r>
        <w:rPr>
          <w:rStyle w:val="10"/>
          <w:rFonts w:hint="eastAsia" w:ascii="Microsoft YaHei UI" w:hAnsi="Microsoft YaHei UI" w:eastAsia="Microsoft YaHei UI" w:cs="Microsoft YaHei UI"/>
          <w:i w:val="0"/>
          <w:iCs w:val="0"/>
          <w:caps w:val="0"/>
          <w:color w:val="576B95"/>
          <w:spacing w:val="9"/>
          <w:sz w:val="25"/>
          <w:szCs w:val="25"/>
          <w:u w:val="none"/>
          <w:bdr w:val="none" w:color="auto" w:sz="0" w:space="0"/>
        </w:rPr>
        <w:t>松鼠Quant的SF22</w: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end"/>
      </w:r>
      <w:r>
        <w:rPr>
          <w:rFonts w:hint="eastAsia" w:ascii="Microsoft YaHei UI" w:hAnsi="Microsoft YaHei UI" w:eastAsia="Microsoft YaHei UI" w:cs="Microsoft YaHei UI"/>
          <w:i w:val="0"/>
          <w:iCs w:val="0"/>
          <w:caps w:val="0"/>
          <w:spacing w:val="9"/>
          <w:sz w:val="25"/>
          <w:szCs w:val="25"/>
          <w:bdr w:val="none" w:color="auto" w:sz="0" w:space="0"/>
        </w:rPr>
        <w:t>，</w: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begin"/>
      </w:r>
      <w:r>
        <w:rPr>
          <w:rFonts w:hint="eastAsia" w:ascii="Microsoft YaHei UI" w:hAnsi="Microsoft YaHei UI" w:eastAsia="Microsoft YaHei UI" w:cs="Microsoft YaHei UI"/>
          <w:i w:val="0"/>
          <w:iCs w:val="0"/>
          <w:caps w:val="0"/>
          <w:color w:val="576B95"/>
          <w:spacing w:val="9"/>
          <w:sz w:val="25"/>
          <w:szCs w:val="25"/>
          <w:u w:val="none"/>
          <w:bdr w:val="none" w:color="auto" w:sz="0" w:space="0"/>
        </w:rPr>
        <w:instrText xml:space="preserve"> HYPERLINK "https://mp.weixin.qq.com/s?__biz=MjM5MzE5NzUxNw==&amp;mid=2447860439&amp;idx=1&amp;sn=48b39dea0801d20001439f11f1cd4a2c&amp;chksm=b2897e7585fef76357517d920ffc67a94f3b5b8a8dcf277ec079dd35b2926f7e21d0dab9d19d&amp;scene=21" \l "wechat_redirect" \t "_blank" </w:instrTex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separate"/>
      </w:r>
      <w:r>
        <w:rPr>
          <w:rStyle w:val="10"/>
          <w:rFonts w:hint="eastAsia" w:ascii="Microsoft YaHei UI" w:hAnsi="Microsoft YaHei UI" w:eastAsia="Microsoft YaHei UI" w:cs="Microsoft YaHei UI"/>
          <w:i w:val="0"/>
          <w:iCs w:val="0"/>
          <w:caps w:val="0"/>
          <w:color w:val="576B95"/>
          <w:spacing w:val="9"/>
          <w:sz w:val="25"/>
          <w:szCs w:val="25"/>
          <w:u w:val="none"/>
          <w:bdr w:val="none" w:color="auto" w:sz="0" w:space="0"/>
        </w:rPr>
        <w:t>算法8</w:t>
      </w:r>
      <w:r>
        <w:rPr>
          <w:rFonts w:hint="eastAsia" w:ascii="Microsoft YaHei UI" w:hAnsi="Microsoft YaHei UI" w:eastAsia="Microsoft YaHei UI" w:cs="Microsoft YaHei UI"/>
          <w:i w:val="0"/>
          <w:iCs w:val="0"/>
          <w:caps w:val="0"/>
          <w:color w:val="576B95"/>
          <w:spacing w:val="9"/>
          <w:sz w:val="25"/>
          <w:szCs w:val="25"/>
          <w:u w:val="none"/>
          <w:bdr w:val="none" w:color="auto" w:sz="0" w:space="0"/>
        </w:rPr>
        <w:fldChar w:fldCharType="end"/>
      </w:r>
      <w:r>
        <w:rPr>
          <w:rFonts w:hint="eastAsia" w:ascii="Microsoft YaHei UI" w:hAnsi="Microsoft YaHei UI" w:eastAsia="Microsoft YaHei UI" w:cs="Microsoft YaHei UI"/>
          <w:i w:val="0"/>
          <w:iCs w:val="0"/>
          <w:caps w:val="0"/>
          <w:spacing w:val="9"/>
          <w:sz w:val="25"/>
          <w:szCs w:val="25"/>
          <w:bdr w:val="none" w:color="auto" w:sz="0" w:space="0"/>
        </w:rPr>
        <w:t>很类似。</w:t>
      </w:r>
      <w:r>
        <w:rPr>
          <w:rStyle w:val="9"/>
          <w:rFonts w:hint="eastAsia" w:ascii="Microsoft YaHei UI" w:hAnsi="Microsoft YaHei UI" w:eastAsia="Microsoft YaHei UI" w:cs="Microsoft YaHei UI"/>
          <w:i w:val="0"/>
          <w:iCs w:val="0"/>
          <w:caps w:val="0"/>
          <w:spacing w:val="9"/>
          <w:sz w:val="25"/>
          <w:szCs w:val="25"/>
          <w:bdr w:val="none" w:color="auto" w:sz="0" w:space="0"/>
        </w:rPr>
        <w:t>它可以作为一个波动率的监控指标，不指示方向。仅仅是观察波动率收窄和放大的极限，有一定的预测能力，有兴趣的朋友可以把它做一个选股指标，寻找高波动机会的品种。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好的，专享10的策略思路介绍完了，源码提供了</w:t>
      </w:r>
      <w:r>
        <w:rPr>
          <w:rStyle w:val="9"/>
          <w:rFonts w:hint="eastAsia" w:ascii="Microsoft YaHei UI" w:hAnsi="Microsoft YaHei UI" w:eastAsia="Microsoft YaHei UI" w:cs="Microsoft YaHei UI"/>
          <w:i w:val="0"/>
          <w:iCs w:val="0"/>
          <w:caps w:val="0"/>
          <w:spacing w:val="9"/>
          <w:sz w:val="25"/>
          <w:szCs w:val="25"/>
          <w:bdr w:val="none" w:color="auto" w:sz="0" w:space="0"/>
        </w:rPr>
        <w:t>TBquant和python两个版本</w:t>
      </w:r>
      <w:r>
        <w:rPr>
          <w:rFonts w:hint="eastAsia" w:ascii="Microsoft YaHei UI" w:hAnsi="Microsoft YaHei UI" w:eastAsia="Microsoft YaHei UI" w:cs="Microsoft YaHei UI"/>
          <w:i w:val="0"/>
          <w:iCs w:val="0"/>
          <w:caps w:val="0"/>
          <w:spacing w:val="9"/>
          <w:sz w:val="25"/>
          <w:szCs w:val="25"/>
          <w:bdr w:val="none" w:color="auto" w:sz="0" w:space="0"/>
        </w:rPr>
        <w:t>，我们来看看它的全品种绩效：</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63"/>
                    <pic:cNvPicPr>
                      <a:picLocks noChangeAspect="1"/>
                    </pic:cNvPicPr>
                  </pic:nvPicPr>
                  <pic:blipFill>
                    <a:blip r:embed="rId11"/>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134600" cy="4476750"/>
            <wp:effectExtent l="0" t="0" r="0" b="0"/>
            <wp:docPr id="8"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IMG_264"/>
                    <pic:cNvPicPr>
                      <a:picLocks noChangeAspect="1"/>
                    </pic:cNvPicPr>
                  </pic:nvPicPr>
                  <pic:blipFill>
                    <a:blip r:embed="rId12"/>
                    <a:stretch>
                      <a:fillRect/>
                    </a:stretch>
                  </pic:blipFill>
                  <pic:spPr>
                    <a:xfrm>
                      <a:off x="0" y="0"/>
                      <a:ext cx="10134600" cy="447675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4581525"/>
            <wp:effectExtent l="0" t="0" r="0" b="9525"/>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IMG_265"/>
                    <pic:cNvPicPr>
                      <a:picLocks noChangeAspect="1"/>
                    </pic:cNvPicPr>
                  </pic:nvPicPr>
                  <pic:blipFill>
                    <a:blip r:embed="rId13"/>
                    <a:stretch>
                      <a:fillRect/>
                    </a:stretch>
                  </pic:blipFill>
                  <pic:spPr>
                    <a:xfrm>
                      <a:off x="0" y="0"/>
                      <a:ext cx="10287000" cy="458152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4572000"/>
            <wp:effectExtent l="0" t="0" r="0" b="0"/>
            <wp:docPr id="1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IMG_266"/>
                    <pic:cNvPicPr>
                      <a:picLocks noChangeAspect="1"/>
                    </pic:cNvPicPr>
                  </pic:nvPicPr>
                  <pic:blipFill>
                    <a:blip r:embed="rId14"/>
                    <a:stretch>
                      <a:fillRect/>
                    </a:stretch>
                  </pic:blipFill>
                  <pic:spPr>
                    <a:xfrm>
                      <a:off x="0" y="0"/>
                      <a:ext cx="10287000" cy="457200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螺纹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10"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IMG_267"/>
                    <pic:cNvPicPr>
                      <a:picLocks noChangeAspect="1"/>
                    </pic:cNvPicPr>
                  </pic:nvPicPr>
                  <pic:blipFill>
                    <a:blip r:embed="rId15"/>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豆粕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11"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IMG_268"/>
                    <pic:cNvPicPr>
                      <a:picLocks noChangeAspect="1"/>
                    </pic:cNvPicPr>
                  </pic:nvPicPr>
                  <pic:blipFill>
                    <a:blip r:embed="rId16"/>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5"/>
          <w:szCs w:val="25"/>
          <w:bdr w:val="none" w:color="auto" w:sz="0" w:space="0"/>
        </w:rPr>
        <w:t>苹果</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32"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descr="IMG_269"/>
                    <pic:cNvPicPr>
                      <a:picLocks noChangeAspect="1"/>
                    </pic:cNvPicPr>
                  </pic:nvPicPr>
                  <pic:blipFill>
                    <a:blip r:embed="rId17"/>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玻璃</w:t>
      </w:r>
    </w:p>
    <w:p>
      <w:r>
        <w:rPr>
          <w:color w:val="FFFFFF"/>
        </w:rPr>
        <w:tab/>
        <w:tab/>
        <w:t>//Bar更新事件函数，参数indexs表示变化的数据源图层ID248844320数组</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2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5" descr="IMG_270"/>
                    <pic:cNvPicPr>
                      <a:picLocks noChangeAspect="1"/>
                    </pic:cNvPicPr>
                  </pic:nvPicPr>
                  <pic:blipFill>
                    <a:blip r:embed="rId18"/>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国际铜</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25"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 descr="IMG_271"/>
                    <pic:cNvPicPr>
                      <a:picLocks noChangeAspect="1"/>
                    </pic:cNvPicPr>
                  </pic:nvPicPr>
                  <pic:blipFill>
                    <a:blip r:embed="rId19"/>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玉米</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3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7" descr="IMG_272"/>
                    <pic:cNvPicPr>
                      <a:picLocks noChangeAspect="1"/>
                    </pic:cNvPicPr>
                  </pic:nvPicPr>
                  <pic:blipFill>
                    <a:blip r:embed="rId20"/>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棉纱</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27"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8" descr="IMG_273"/>
                    <pic:cNvPicPr>
                      <a:picLocks noChangeAspect="1"/>
                    </pic:cNvPicPr>
                  </pic:nvPicPr>
                  <pic:blipFill>
                    <a:blip r:embed="rId21"/>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白银</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20"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IMG_274"/>
                    <pic:cNvPicPr>
                      <a:picLocks noChangeAspect="1"/>
                    </pic:cNvPicPr>
                  </pic:nvPicPr>
                  <pic:blipFill>
                    <a:blip r:embed="rId22"/>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豆油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35"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0" descr="IMG_275"/>
                    <pic:cNvPicPr>
                      <a:picLocks noChangeAspect="1"/>
                    </pic:cNvPicPr>
                  </pic:nvPicPr>
                  <pic:blipFill>
                    <a:blip r:embed="rId23"/>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沪锌</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2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descr="IMG_276"/>
                    <pic:cNvPicPr>
                      <a:picLocks noChangeAspect="1"/>
                    </pic:cNvPicPr>
                  </pic:nvPicPr>
                  <pic:blipFill>
                    <a:blip r:embed="rId24"/>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IM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3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descr="IMG_277"/>
                    <pic:cNvPicPr>
                      <a:picLocks noChangeAspect="1"/>
                    </pic:cNvPicPr>
                  </pic:nvPicPr>
                  <pic:blipFill>
                    <a:blip r:embed="rId25"/>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国债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31"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3" descr="IMG_278"/>
                    <pic:cNvPicPr>
                      <a:picLocks noChangeAspect="1"/>
                    </pic:cNvPicPr>
                  </pic:nvPicPr>
                  <pic:blipFill>
                    <a:blip r:embed="rId26"/>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t>原油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rPr>
        <w:drawing>
          <wp:inline distT="0" distB="0" distL="114300" distR="114300">
            <wp:extent cx="10287000" cy="3990975"/>
            <wp:effectExtent l="0" t="0" r="0" b="9525"/>
            <wp:docPr id="34"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4" descr="IMG_279"/>
                    <pic:cNvPicPr>
                      <a:picLocks noChangeAspect="1"/>
                    </pic:cNvPicPr>
                  </pic:nvPicPr>
                  <pic:blipFill>
                    <a:blip r:embed="rId27"/>
                    <a:stretch>
                      <a:fillRect/>
                    </a:stretch>
                  </pic:blipFill>
                  <pic:spPr>
                    <a:xfrm>
                      <a:off x="0" y="0"/>
                      <a:ext cx="10287000" cy="39909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30"/>
          <w:szCs w:val="30"/>
          <w:bdr w:val="none" w:color="auto" w:sz="0" w:space="0"/>
          <w:shd w:val="clear" w:fill="FFFFFF"/>
        </w:rPr>
        <w:t>Vn.py版本(python)</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2"/>
          <w:szCs w:val="22"/>
          <w:bdr w:val="none" w:color="auto" w:sz="0" w:space="0"/>
          <w:shd w:val="clear" w:fill="FFFFFF"/>
        </w:rPr>
        <w:t>默认螺纹钢888，无参数优化的绩效，拿到源码后可以自己调优。</w:t>
      </w:r>
      <w:r>
        <w:rPr>
          <w:rFonts w:hint="eastAsia" w:ascii="Microsoft YaHei UI" w:hAnsi="Microsoft YaHei UI" w:eastAsia="Microsoft YaHei UI" w:cs="Microsoft YaHei UI"/>
          <w:i w:val="0"/>
          <w:iCs w:val="0"/>
          <w:caps w:val="0"/>
          <w:spacing w:val="9"/>
          <w:sz w:val="22"/>
          <w:szCs w:val="22"/>
          <w:bdr w:val="none" w:color="auto" w:sz="0" w:space="0"/>
          <w:shd w:val="clear" w:fill="FFFFFF"/>
        </w:rPr>
        <w:t>回测螺纹数据使用松鼠数据库后复权主连数据，数据格式如下：</w:t>
      </w:r>
    </w:p>
    <w:p>
      <w:pPr>
        <w:keepNext w:val="0"/>
        <w:keepLines w:val="0"/>
        <w:widowControl/>
        <w:suppressLineNumbers w:val="0"/>
        <w:jc w:val="left"/>
      </w:pPr>
      <w:r>
        <w:rPr>
          <w:rFonts w:ascii="宋体" w:hAnsi="宋体" w:eastAsia="宋体" w:cs="宋体"/>
          <w:kern w:val="0"/>
          <w:sz w:val="24"/>
          <w:szCs w:val="24"/>
          <w:bdr w:val="none" w:color="auto" w:sz="0" w:space="0"/>
          <w:lang w:val="en-US" w:eastAsia="zh-CN" w:bidi="ar"/>
        </w:rPr>
        <w:drawing>
          <wp:inline distT="0" distB="0" distL="114300" distR="114300">
            <wp:extent cx="10287000" cy="3305175"/>
            <wp:effectExtent l="0" t="0" r="0" b="9525"/>
            <wp:docPr id="2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descr="IMG_280"/>
                    <pic:cNvPicPr>
                      <a:picLocks noChangeAspect="1"/>
                    </pic:cNvPicPr>
                  </pic:nvPicPr>
                  <pic:blipFill>
                    <a:blip r:embed="rId28"/>
                    <a:stretch>
                      <a:fillRect/>
                    </a:stretch>
                  </pic:blipFill>
                  <pic:spPr>
                    <a:xfrm>
                      <a:off x="0" y="0"/>
                      <a:ext cx="10287000" cy="3305175"/>
                    </a:xfrm>
                    <a:prstGeom prst="rect">
                      <a:avLst/>
                    </a:prstGeom>
                    <a:noFill/>
                    <a:ln w="9525">
                      <a:noFill/>
                    </a:ln>
                  </pic:spPr>
                </pic:pic>
              </a:graphicData>
            </a:graphic>
          </wp:inline>
        </w:drawing>
      </w:r>
      <w:r>
        <w:rPr>
          <w:rFonts w:ascii="宋体" w:hAnsi="宋体" w:eastAsia="宋体" w:cs="宋体"/>
          <w:kern w:val="0"/>
          <w:sz w:val="24"/>
          <w:szCs w:val="24"/>
          <w:bdr w:val="none" w:color="auto" w:sz="0" w:space="0"/>
          <w:lang w:val="en-US" w:eastAsia="zh-CN" w:bidi="ar"/>
        </w:rPr>
        <w:drawing>
          <wp:inline distT="0" distB="0" distL="114300" distR="114300">
            <wp:extent cx="10287000" cy="5810250"/>
            <wp:effectExtent l="0" t="0" r="0" b="0"/>
            <wp:docPr id="29"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6" descr="IMG_281"/>
                    <pic:cNvPicPr>
                      <a:picLocks noChangeAspect="1"/>
                    </pic:cNvPicPr>
                  </pic:nvPicPr>
                  <pic:blipFill>
                    <a:blip r:embed="rId29"/>
                    <a:stretch>
                      <a:fillRect/>
                    </a:stretch>
                  </pic:blipFill>
                  <pic:spPr>
                    <a:xfrm>
                      <a:off x="0" y="0"/>
                      <a:ext cx="10287000" cy="5810250"/>
                    </a:xfrm>
                    <a:prstGeom prst="rect">
                      <a:avLst/>
                    </a:prstGeom>
                    <a:noFill/>
                    <a:ln w="9525">
                      <a:noFill/>
                    </a:ln>
                  </pic:spPr>
                </pic:pic>
              </a:graphicData>
            </a:graphic>
          </wp:inline>
        </w:drawing>
      </w:r>
      <w:r>
        <w:rPr>
          <w:rFonts w:ascii="宋体" w:hAnsi="宋体" w:eastAsia="宋体" w:cs="宋体"/>
          <w:kern w:val="0"/>
          <w:sz w:val="24"/>
          <w:szCs w:val="24"/>
          <w:bdr w:val="none" w:color="auto" w:sz="0" w:space="0"/>
          <w:lang w:val="en-US" w:eastAsia="zh-CN" w:bidi="ar"/>
        </w:rPr>
        <w:drawing>
          <wp:inline distT="0" distB="0" distL="114300" distR="114300">
            <wp:extent cx="6010275" cy="1514475"/>
            <wp:effectExtent l="0" t="0" r="9525" b="9525"/>
            <wp:docPr id="21"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7" descr="IMG_282"/>
                    <pic:cNvPicPr>
                      <a:picLocks noChangeAspect="1"/>
                    </pic:cNvPicPr>
                  </pic:nvPicPr>
                  <pic:blipFill>
                    <a:blip r:embed="rId30"/>
                    <a:stretch>
                      <a:fillRect/>
                    </a:stretch>
                  </pic:blipFill>
                  <pic:spPr>
                    <a:xfrm>
                      <a:off x="0" y="0"/>
                      <a:ext cx="6010275" cy="1514475"/>
                    </a:xfrm>
                    <a:prstGeom prst="rect">
                      <a:avLst/>
                    </a:prstGeom>
                    <a:noFill/>
                    <a:ln w="9525">
                      <a:noFill/>
                    </a:ln>
                  </pic:spPr>
                </pic:pic>
              </a:graphicData>
            </a:graphic>
          </wp:inline>
        </w:drawing>
      </w:r>
      <w:r>
        <w:rPr>
          <w:rFonts w:ascii="宋体" w:hAnsi="宋体" w:eastAsia="宋体" w:cs="宋体"/>
          <w:kern w:val="0"/>
          <w:sz w:val="24"/>
          <w:szCs w:val="24"/>
          <w:bdr w:val="none" w:color="auto" w:sz="0" w:space="0"/>
          <w:lang w:val="en-US" w:eastAsia="zh-CN" w:bidi="ar"/>
        </w:rPr>
        <w:drawing>
          <wp:inline distT="0" distB="0" distL="114300" distR="114300">
            <wp:extent cx="4943475" cy="4257675"/>
            <wp:effectExtent l="0" t="0" r="9525" b="9525"/>
            <wp:docPr id="23"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8" descr="IMG_283"/>
                    <pic:cNvPicPr>
                      <a:picLocks noChangeAspect="1"/>
                    </pic:cNvPicPr>
                  </pic:nvPicPr>
                  <pic:blipFill>
                    <a:blip r:embed="rId31"/>
                    <a:stretch>
                      <a:fillRect/>
                    </a:stretch>
                  </pic:blipFill>
                  <pic:spPr>
                    <a:xfrm>
                      <a:off x="0" y="0"/>
                      <a:ext cx="4943475" cy="42576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ind w:left="0" w:right="0" w:firstLine="0"/>
        <w:jc w:val="center"/>
        <w:rPr>
          <w:rFonts w:hint="eastAsia" w:ascii="Microsoft YaHei UI" w:hAnsi="Microsoft YaHei UI" w:eastAsia="Microsoft YaHei UI" w:cs="Microsoft YaHei UI"/>
          <w:i w:val="0"/>
          <w:iCs w:val="0"/>
          <w:caps w:val="0"/>
          <w:spacing w:val="9"/>
          <w:sz w:val="25"/>
          <w:szCs w:val="25"/>
        </w:rPr>
      </w:pPr>
      <w:r>
        <w:rPr>
          <w:color w:val="FFFFFF"/>
        </w:rPr>
        <w:t>// 编译版本</w:t>
        <w:tab/>
        <w:t>2023/01/06 248844320</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7"/>
          <w:szCs w:val="27"/>
          <w:bdr w:val="none" w:color="auto" w:sz="0" w:space="0"/>
          <w:shd w:val="clear" w:fill="FFFFFF"/>
        </w:rPr>
        <w:t>结语</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Style w:val="9"/>
          <w:rFonts w:hint="eastAsia" w:ascii="Microsoft YaHei UI" w:hAnsi="Microsoft YaHei UI" w:eastAsia="Microsoft YaHei UI" w:cs="Microsoft YaHei UI"/>
          <w:i w:val="0"/>
          <w:iCs w:val="0"/>
          <w:caps w:val="0"/>
          <w:spacing w:val="9"/>
          <w:sz w:val="27"/>
          <w:szCs w:val="27"/>
          <w:bdr w:val="none" w:color="auto" w:sz="0" w:space="0"/>
          <w:shd w:val="clear" w:fill="FFFFFF"/>
        </w:rPr>
        <w:t>    </w:t>
      </w:r>
      <w:r>
        <w:rPr>
          <w:rFonts w:hint="eastAsia" w:ascii="Microsoft YaHei UI" w:hAnsi="Microsoft YaHei UI" w:eastAsia="Microsoft YaHei UI" w:cs="Microsoft YaHei UI"/>
          <w:i w:val="0"/>
          <w:iCs w:val="0"/>
          <w:caps w:val="0"/>
          <w:spacing w:val="9"/>
          <w:sz w:val="22"/>
          <w:szCs w:val="22"/>
          <w:bdr w:val="none" w:color="auto" w:sz="0" w:space="0"/>
          <w:shd w:val="clear" w:fill="FFFFFF"/>
        </w:rPr>
        <w:t>专享10是在09的基础上迭代的策略，其中过滤的方法我觉的适用于很多趋势类策略。描述趋势较为容易，让每个人头疼的是如何避开震荡或减少震荡中的交易信号，历史策略里也有很多过滤的思路借鉴。我认为不增加参数和复杂算法来达到过滤的目的是普适性较好的方法。专享09和10正是</w:t>
      </w:r>
      <w:bookmarkStart w:id="0" w:name="_GoBack"/>
      <w:bookmarkEnd w:id="0"/>
      <w:r>
        <w:rPr>
          <w:rFonts w:hint="eastAsia" w:ascii="Microsoft YaHei UI" w:hAnsi="Microsoft YaHei UI" w:eastAsia="Microsoft YaHei UI" w:cs="Microsoft YaHei UI"/>
          <w:i w:val="0"/>
          <w:iCs w:val="0"/>
          <w:caps w:val="0"/>
          <w:spacing w:val="9"/>
          <w:sz w:val="22"/>
          <w:szCs w:val="22"/>
          <w:bdr w:val="none" w:color="auto" w:sz="0" w:space="0"/>
          <w:shd w:val="clear" w:fill="FFFFFF"/>
        </w:rPr>
        <w:t>这样的</w:t>
      </w:r>
      <w:r>
        <w:rPr>
          <w:rStyle w:val="9"/>
          <w:rFonts w:hint="eastAsia" w:ascii="Microsoft YaHei UI" w:hAnsi="Microsoft YaHei UI" w:eastAsia="Microsoft YaHei UI" w:cs="Microsoft YaHei UI"/>
          <w:i w:val="0"/>
          <w:iCs w:val="0"/>
          <w:caps w:val="0"/>
          <w:spacing w:val="9"/>
          <w:sz w:val="22"/>
          <w:szCs w:val="22"/>
          <w:bdr w:val="none" w:color="auto" w:sz="0" w:space="0"/>
          <w:shd w:val="clear" w:fill="FFFFFF"/>
        </w:rPr>
        <w:t>大道至简</w:t>
      </w:r>
      <w:r>
        <w:rPr>
          <w:rFonts w:hint="eastAsia" w:ascii="Microsoft YaHei UI" w:hAnsi="Microsoft YaHei UI" w:eastAsia="Microsoft YaHei UI" w:cs="Microsoft YaHei UI"/>
          <w:i w:val="0"/>
          <w:iCs w:val="0"/>
          <w:caps w:val="0"/>
          <w:spacing w:val="9"/>
          <w:sz w:val="22"/>
          <w:szCs w:val="22"/>
          <w:bdr w:val="none" w:color="auto" w:sz="0" w:space="0"/>
          <w:shd w:val="clear" w:fill="FFFFFF"/>
        </w:rPr>
        <w:t>的思路来构建的策略，喜欢量化的小伙伴可以着重参考一下思路。感谢支持松鼠Quant，我们会继续分享有趣的思路，俱乐部的小伙伴有问题可以私信我。</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9"/>
          <w:sz w:val="25"/>
          <w:szCs w:val="25"/>
        </w:rPr>
      </w:pPr>
      <w:r>
        <w:rPr>
          <w:rFonts w:hint="eastAsia" w:ascii="Microsoft YaHei UI" w:hAnsi="Microsoft YaHei UI" w:eastAsia="Microsoft YaHei UI" w:cs="Microsoft YaHei UI"/>
          <w:i w:val="0"/>
          <w:iCs w:val="0"/>
          <w:caps w:val="0"/>
          <w:spacing w:val="9"/>
          <w:sz w:val="25"/>
          <w:szCs w:val="25"/>
          <w:bdr w:val="none" w:color="auto" w:sz="0" w:space="0"/>
          <w:shd w:val="clear" w:fill="FFFFFF"/>
        </w:rPr>
        <w:t>   </w:t>
      </w:r>
      <w:r>
        <w:rPr>
          <w:rFonts w:hint="eastAsia" w:ascii="Microsoft YaHei UI" w:hAnsi="Microsoft YaHei UI" w:eastAsia="Microsoft YaHei UI" w:cs="Microsoft YaHei UI"/>
          <w:i w:val="0"/>
          <w:iCs w:val="0"/>
          <w:caps w:val="0"/>
          <w:spacing w:val="9"/>
          <w:sz w:val="22"/>
          <w:szCs w:val="22"/>
          <w:bdr w:val="none" w:color="auto" w:sz="0" w:space="0"/>
          <w:shd w:val="clear" w:fill="FFFFFF"/>
        </w:rPr>
        <w:t> 使用python的朋友可以直接从</w:t>
      </w:r>
      <w:r>
        <w:rPr>
          <w:rStyle w:val="9"/>
          <w:rFonts w:hint="eastAsia" w:ascii="Microsoft YaHei UI" w:hAnsi="Microsoft YaHei UI" w:eastAsia="Microsoft YaHei UI" w:cs="Microsoft YaHei UI"/>
          <w:i w:val="0"/>
          <w:iCs w:val="0"/>
          <w:caps w:val="0"/>
          <w:spacing w:val="9"/>
          <w:sz w:val="22"/>
          <w:szCs w:val="22"/>
          <w:bdr w:val="none" w:color="auto" w:sz="0" w:space="0"/>
          <w:shd w:val="clear" w:fill="FFFFFF"/>
        </w:rPr>
        <w:t>松鼠数据库</w:t>
      </w:r>
      <w:r>
        <w:rPr>
          <w:rFonts w:hint="eastAsia" w:ascii="Microsoft YaHei UI" w:hAnsi="Microsoft YaHei UI" w:eastAsia="Microsoft YaHei UI" w:cs="Microsoft YaHei UI"/>
          <w:i w:val="0"/>
          <w:iCs w:val="0"/>
          <w:caps w:val="0"/>
          <w:spacing w:val="9"/>
          <w:sz w:val="22"/>
          <w:szCs w:val="22"/>
          <w:bdr w:val="none" w:color="auto" w:sz="0" w:space="0"/>
          <w:shd w:val="clear" w:fill="FFFFFF"/>
        </w:rPr>
        <w:t>下载每日更新的期货数据用于研究，复盘。</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Consolas">
    <w:panose1 w:val="020B0609020204030204"/>
    <w:charset w:val="00"/>
    <w:family w:val="auto"/>
    <w:pitch w:val="default"/>
    <w:sig w:usb0="E00006FF" w:usb1="0000FCFF" w:usb2="00000001" w:usb3="00000000" w:csb0="600001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MmIzYzQyZjFmNTQ5MWNiOWUyYWZmMTkzOWMxZGUifQ=="/>
  </w:docVars>
  <w:rsids>
    <w:rsidRoot w:val="008F2F8B"/>
    <w:rsid w:val="000D792C"/>
    <w:rsid w:val="001A1387"/>
    <w:rsid w:val="005D70A4"/>
    <w:rsid w:val="00655794"/>
    <w:rsid w:val="007D3DFC"/>
    <w:rsid w:val="008F2F8B"/>
    <w:rsid w:val="00DC77E3"/>
    <w:rsid w:val="00FA4EAA"/>
    <w:rsid w:val="040F5AE1"/>
    <w:rsid w:val="04243E3E"/>
    <w:rsid w:val="04635904"/>
    <w:rsid w:val="04657F2A"/>
    <w:rsid w:val="05C376CE"/>
    <w:rsid w:val="05D55540"/>
    <w:rsid w:val="05E158E3"/>
    <w:rsid w:val="06554267"/>
    <w:rsid w:val="065C7F57"/>
    <w:rsid w:val="0670252F"/>
    <w:rsid w:val="07363BF6"/>
    <w:rsid w:val="0771024E"/>
    <w:rsid w:val="09C2021A"/>
    <w:rsid w:val="09E35CE6"/>
    <w:rsid w:val="0A0E56E7"/>
    <w:rsid w:val="0A572114"/>
    <w:rsid w:val="0A692F6B"/>
    <w:rsid w:val="0B233C9F"/>
    <w:rsid w:val="0B777003"/>
    <w:rsid w:val="0B9557C5"/>
    <w:rsid w:val="0BBC48D3"/>
    <w:rsid w:val="0BD333CC"/>
    <w:rsid w:val="0BED7D3A"/>
    <w:rsid w:val="0CA00764"/>
    <w:rsid w:val="0CC052B5"/>
    <w:rsid w:val="0CC20155"/>
    <w:rsid w:val="0D485E1A"/>
    <w:rsid w:val="0D625D59"/>
    <w:rsid w:val="0F320AD4"/>
    <w:rsid w:val="109F7141"/>
    <w:rsid w:val="10C20764"/>
    <w:rsid w:val="114B033C"/>
    <w:rsid w:val="117D098C"/>
    <w:rsid w:val="11947DF4"/>
    <w:rsid w:val="11F3625E"/>
    <w:rsid w:val="12D47913"/>
    <w:rsid w:val="12FA018A"/>
    <w:rsid w:val="14312E0C"/>
    <w:rsid w:val="148475F7"/>
    <w:rsid w:val="14EF5D19"/>
    <w:rsid w:val="150C0679"/>
    <w:rsid w:val="16D16D5A"/>
    <w:rsid w:val="16F07B27"/>
    <w:rsid w:val="18204C55"/>
    <w:rsid w:val="1856715C"/>
    <w:rsid w:val="1948592D"/>
    <w:rsid w:val="199E21E8"/>
    <w:rsid w:val="1A0807DD"/>
    <w:rsid w:val="1A8423B1"/>
    <w:rsid w:val="1AB45238"/>
    <w:rsid w:val="1AC60017"/>
    <w:rsid w:val="1B176E1F"/>
    <w:rsid w:val="1B1B6E2B"/>
    <w:rsid w:val="1B49198B"/>
    <w:rsid w:val="1C6472FC"/>
    <w:rsid w:val="1C723080"/>
    <w:rsid w:val="1D55298B"/>
    <w:rsid w:val="1DC84210"/>
    <w:rsid w:val="1E1673CB"/>
    <w:rsid w:val="1E2D5278"/>
    <w:rsid w:val="1E485DB8"/>
    <w:rsid w:val="1E6021B2"/>
    <w:rsid w:val="1E761F0C"/>
    <w:rsid w:val="1F2B0EDC"/>
    <w:rsid w:val="20103921"/>
    <w:rsid w:val="20E34258"/>
    <w:rsid w:val="22045902"/>
    <w:rsid w:val="22D402FC"/>
    <w:rsid w:val="237A1FD9"/>
    <w:rsid w:val="23EE417E"/>
    <w:rsid w:val="256A6716"/>
    <w:rsid w:val="26694CB8"/>
    <w:rsid w:val="271E0A66"/>
    <w:rsid w:val="27681C94"/>
    <w:rsid w:val="28834963"/>
    <w:rsid w:val="28A610AE"/>
    <w:rsid w:val="28FB2678"/>
    <w:rsid w:val="291E6775"/>
    <w:rsid w:val="29AE63D0"/>
    <w:rsid w:val="2A265D4B"/>
    <w:rsid w:val="2A475858"/>
    <w:rsid w:val="2A5663D4"/>
    <w:rsid w:val="2ACB5AE2"/>
    <w:rsid w:val="2B3F2232"/>
    <w:rsid w:val="2C0C758C"/>
    <w:rsid w:val="2C340C6F"/>
    <w:rsid w:val="2DE55940"/>
    <w:rsid w:val="2E0C36A1"/>
    <w:rsid w:val="2E5549E7"/>
    <w:rsid w:val="2ED27DE6"/>
    <w:rsid w:val="2F1F12FB"/>
    <w:rsid w:val="2F9A4C70"/>
    <w:rsid w:val="307A6987"/>
    <w:rsid w:val="30FD3EF5"/>
    <w:rsid w:val="315A5B50"/>
    <w:rsid w:val="31615451"/>
    <w:rsid w:val="31BE0AF5"/>
    <w:rsid w:val="3289392B"/>
    <w:rsid w:val="32AB72CC"/>
    <w:rsid w:val="332E5000"/>
    <w:rsid w:val="33444863"/>
    <w:rsid w:val="34F52A80"/>
    <w:rsid w:val="35DE6787"/>
    <w:rsid w:val="365E6403"/>
    <w:rsid w:val="36DD160D"/>
    <w:rsid w:val="3759494C"/>
    <w:rsid w:val="37780FE2"/>
    <w:rsid w:val="381E608A"/>
    <w:rsid w:val="386F358D"/>
    <w:rsid w:val="38D44C65"/>
    <w:rsid w:val="396438B7"/>
    <w:rsid w:val="398D63D0"/>
    <w:rsid w:val="39F52ECC"/>
    <w:rsid w:val="3AA7726E"/>
    <w:rsid w:val="3AA839B3"/>
    <w:rsid w:val="3BDA7AA5"/>
    <w:rsid w:val="3BFF66B9"/>
    <w:rsid w:val="3C262C64"/>
    <w:rsid w:val="3CAE1C52"/>
    <w:rsid w:val="3D01159C"/>
    <w:rsid w:val="3E1A70B4"/>
    <w:rsid w:val="3E770969"/>
    <w:rsid w:val="3F676329"/>
    <w:rsid w:val="403A57EB"/>
    <w:rsid w:val="40512B35"/>
    <w:rsid w:val="40816113"/>
    <w:rsid w:val="40D7383D"/>
    <w:rsid w:val="4193364B"/>
    <w:rsid w:val="41A83489"/>
    <w:rsid w:val="41F145CF"/>
    <w:rsid w:val="434F4036"/>
    <w:rsid w:val="437458D5"/>
    <w:rsid w:val="43E22422"/>
    <w:rsid w:val="459A0E51"/>
    <w:rsid w:val="46657CCF"/>
    <w:rsid w:val="46D20CA8"/>
    <w:rsid w:val="47520016"/>
    <w:rsid w:val="477816CD"/>
    <w:rsid w:val="47A84F9F"/>
    <w:rsid w:val="48914416"/>
    <w:rsid w:val="490E1AB0"/>
    <w:rsid w:val="4A277BC5"/>
    <w:rsid w:val="4AC3480F"/>
    <w:rsid w:val="4BD40237"/>
    <w:rsid w:val="4BD745FA"/>
    <w:rsid w:val="4BE652F3"/>
    <w:rsid w:val="4C772686"/>
    <w:rsid w:val="4D055BF5"/>
    <w:rsid w:val="4D6B4C70"/>
    <w:rsid w:val="4DF634B3"/>
    <w:rsid w:val="4E40411E"/>
    <w:rsid w:val="4E810FA4"/>
    <w:rsid w:val="4F343D4D"/>
    <w:rsid w:val="50162CA5"/>
    <w:rsid w:val="50E81B32"/>
    <w:rsid w:val="5122765B"/>
    <w:rsid w:val="51465563"/>
    <w:rsid w:val="51601594"/>
    <w:rsid w:val="522C6A2B"/>
    <w:rsid w:val="523A167B"/>
    <w:rsid w:val="53311748"/>
    <w:rsid w:val="53A14D5A"/>
    <w:rsid w:val="54392C03"/>
    <w:rsid w:val="54B576DE"/>
    <w:rsid w:val="55FC4317"/>
    <w:rsid w:val="568235B3"/>
    <w:rsid w:val="569906CE"/>
    <w:rsid w:val="56D62C0B"/>
    <w:rsid w:val="56DF6826"/>
    <w:rsid w:val="570B1AB1"/>
    <w:rsid w:val="57CF7323"/>
    <w:rsid w:val="58494A1C"/>
    <w:rsid w:val="58926E7F"/>
    <w:rsid w:val="58EF5343"/>
    <w:rsid w:val="595251BE"/>
    <w:rsid w:val="5BC7768C"/>
    <w:rsid w:val="5CBB3BD5"/>
    <w:rsid w:val="5CC8534F"/>
    <w:rsid w:val="5F1A7E37"/>
    <w:rsid w:val="5F282095"/>
    <w:rsid w:val="5F3407AC"/>
    <w:rsid w:val="601E438A"/>
    <w:rsid w:val="60AB2EAD"/>
    <w:rsid w:val="62F31334"/>
    <w:rsid w:val="642E54DF"/>
    <w:rsid w:val="667052A4"/>
    <w:rsid w:val="66A6768C"/>
    <w:rsid w:val="677E1BB2"/>
    <w:rsid w:val="67EC6079"/>
    <w:rsid w:val="681C5897"/>
    <w:rsid w:val="692073C4"/>
    <w:rsid w:val="69D20E81"/>
    <w:rsid w:val="6BA442C2"/>
    <w:rsid w:val="6BBF77EF"/>
    <w:rsid w:val="6C7A70FC"/>
    <w:rsid w:val="6E071E61"/>
    <w:rsid w:val="6F540541"/>
    <w:rsid w:val="6F6C6916"/>
    <w:rsid w:val="6F761E0D"/>
    <w:rsid w:val="7053007F"/>
    <w:rsid w:val="70D14313"/>
    <w:rsid w:val="718538F7"/>
    <w:rsid w:val="72AA3461"/>
    <w:rsid w:val="73057FAB"/>
    <w:rsid w:val="73536911"/>
    <w:rsid w:val="739772FC"/>
    <w:rsid w:val="73CB4C3A"/>
    <w:rsid w:val="7454695B"/>
    <w:rsid w:val="751A116C"/>
    <w:rsid w:val="759F4A5F"/>
    <w:rsid w:val="76072E32"/>
    <w:rsid w:val="76FC47BF"/>
    <w:rsid w:val="77197342"/>
    <w:rsid w:val="771C2F74"/>
    <w:rsid w:val="77634050"/>
    <w:rsid w:val="785E5813"/>
    <w:rsid w:val="796452E6"/>
    <w:rsid w:val="7988274E"/>
    <w:rsid w:val="79944ED8"/>
    <w:rsid w:val="79BA7989"/>
    <w:rsid w:val="7A8D0632"/>
    <w:rsid w:val="7B0F1047"/>
    <w:rsid w:val="7B595195"/>
    <w:rsid w:val="7D6A4C0D"/>
    <w:rsid w:val="7DDA292B"/>
    <w:rsid w:val="7F1D202D"/>
    <w:rsid w:val="7FAD5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autoRedefine/>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HTML Preformatted"/>
    <w:basedOn w:val="1"/>
    <w:autoRedefine/>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autoRedefine/>
    <w:qFormat/>
    <w:uiPriority w:val="0"/>
    <w:pPr>
      <w:spacing w:beforeAutospacing="1" w:afterAutospacing="1"/>
      <w:jc w:val="left"/>
    </w:pPr>
    <w:rPr>
      <w:rFonts w:cs="Times New Roman"/>
      <w:kern w:val="0"/>
      <w:sz w:val="24"/>
    </w:rPr>
  </w:style>
  <w:style w:type="character" w:styleId="9">
    <w:name w:val="Strong"/>
    <w:basedOn w:val="8"/>
    <w:qFormat/>
    <w:uiPriority w:val="0"/>
    <w:rPr>
      <w:b/>
    </w:rPr>
  </w:style>
  <w:style w:type="character" w:styleId="10">
    <w:name w:val="Hyperlink"/>
    <w:basedOn w:val="8"/>
    <w:autoRedefine/>
    <w:unhideWhenUsed/>
    <w:qFormat/>
    <w:uiPriority w:val="0"/>
    <w:rPr>
      <w:color w:val="0000FF"/>
      <w:u w:val="single"/>
    </w:rPr>
  </w:style>
  <w:style w:type="character" w:styleId="11">
    <w:name w:val="HTML Code"/>
    <w:basedOn w:val="8"/>
    <w:qFormat/>
    <w:uiPriority w:val="0"/>
    <w:rPr>
      <w:rFonts w:ascii="Courier New" w:hAnsi="Courier New"/>
      <w:sz w:val="20"/>
    </w:rPr>
  </w:style>
  <w:style w:type="character" w:styleId="12">
    <w:name w:val="annotation reference"/>
    <w:basedOn w:val="8"/>
    <w:autoRedefine/>
    <w:qFormat/>
    <w:uiPriority w:val="0"/>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3" Type="http://schemas.openxmlformats.org/officeDocument/2006/relationships/fontTable" Target="fontTable.xml"/><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webp"/><Relationship Id="rId28" Type="http://schemas.openxmlformats.org/officeDocument/2006/relationships/image" Target="media/image25.webp"/><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1489</Words>
  <Characters>1817</Characters>
  <Lines>9</Lines>
  <Paragraphs>2</Paragraphs>
  <TotalTime>1</TotalTime>
  <ScaleCrop>false</ScaleCrop>
  <LinksUpToDate>false</LinksUpToDate>
  <CharactersWithSpaces>1835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2022-11-16T06:12:00Z</dcterms:created>
  <dc:creator>lenovo</dc:creator>
  <cp:lastModifiedBy>13453145450手机用户</cp:lastModifiedBy>
  <dcterms:modified xsi:type="dcterms:W3CDTF">2024-04-16T05:52:04Z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C4DD2CAE55034103A640919EC630874B</vt:lpwstr>
  </property>
</Properties>
</file>