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F629D">
      <w:pPr>
        <w:bidi w:val="0"/>
        <w:ind w:left="1260" w:leftChars="0" w:firstLine="840" w:firstLineChars="400"/>
        <w:rPr>
          <w:rFonts w:hint="default"/>
        </w:rPr>
      </w:pPr>
      <w:r>
        <w:rPr>
          <w:rFonts w:hint="default"/>
        </w:rPr>
        <w:t>基于资金</w:t>
      </w:r>
      <w:r>
        <w:rPr>
          <w:rFonts w:hint="eastAsia"/>
          <w:lang w:val="en-US" w:eastAsia="zh-CN"/>
        </w:rPr>
        <w:t>逻辑</w:t>
      </w:r>
      <w:r>
        <w:rPr>
          <w:rFonts w:hint="default"/>
        </w:rPr>
        <w:t>的多品种</w:t>
      </w:r>
      <w:r>
        <w:rPr>
          <w:rFonts w:hint="eastAsia"/>
          <w:lang w:val="en-US" w:eastAsia="zh-CN"/>
        </w:rPr>
        <w:t>截面</w:t>
      </w:r>
      <w:r>
        <w:rPr>
          <w:rFonts w:hint="default"/>
        </w:rPr>
        <w:t>策略</w:t>
      </w:r>
    </w:p>
    <w:p w14:paraId="08B8B703">
      <w:pPr>
        <w:bidi w:val="0"/>
        <w:ind w:firstLine="420" w:firstLineChars="0"/>
        <w:rPr>
          <w:rFonts w:hint="default"/>
        </w:rPr>
      </w:pPr>
      <w:r>
        <w:rPr>
          <w:rFonts w:hint="eastAsia"/>
          <w:lang w:val="en-US" w:eastAsia="zh-CN"/>
        </w:rPr>
        <w:t>大家好，本期给大家带来的是横截面策略。</w:t>
      </w:r>
      <w:r>
        <w:t>在期货市场中，价格的涨跌不仅仅是供需关系的体现，更是资金流动的结果。那些被称为“聪明钱”的大资金，往往在市场趋势形成之前就已经悄然布局。如何捕捉这些资金的动向，成为了许多量化交易者的研究重点。今天，我们将深入探讨一个基于</w:t>
      </w:r>
      <w:r>
        <w:rPr>
          <w:rFonts w:hint="eastAsia"/>
          <w:b/>
          <w:bCs/>
          <w:lang w:val="en-US" w:eastAsia="zh-CN"/>
        </w:rPr>
        <w:t>成交量效应</w:t>
      </w:r>
      <w:r>
        <w:rPr>
          <w:rFonts w:hint="default"/>
        </w:rPr>
        <w:t>和</w:t>
      </w:r>
      <w:r>
        <w:rPr>
          <w:rFonts w:hint="default"/>
          <w:b/>
          <w:bCs/>
        </w:rPr>
        <w:t>持仓量</w:t>
      </w:r>
      <w:r>
        <w:rPr>
          <w:rFonts w:hint="eastAsia"/>
          <w:b/>
          <w:bCs/>
          <w:lang w:val="en-US" w:eastAsia="zh-CN"/>
        </w:rPr>
        <w:t>效应</w:t>
      </w:r>
      <w:r>
        <w:rPr>
          <w:rFonts w:hint="default"/>
        </w:rPr>
        <w:t>的多品种</w:t>
      </w:r>
      <w:r>
        <w:rPr>
          <w:rFonts w:hint="eastAsia"/>
          <w:lang w:val="en-US" w:eastAsia="zh-CN"/>
        </w:rPr>
        <w:t>截面</w:t>
      </w:r>
      <w:r>
        <w:rPr>
          <w:rFonts w:hint="default"/>
        </w:rPr>
        <w:t>策略，揭秘如何用数据驱动的逻辑捕捉市场中的“聪明钱”。</w:t>
      </w:r>
      <w:r>
        <w:rPr>
          <w:rFonts w:hint="default"/>
        </w:rPr>
        <w:pict>
          <v:rect id="_x0000_i1025" o:spt="1" style="height:1.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DC51831">
      <w:pPr>
        <w:bidi w:val="0"/>
        <w:rPr>
          <w:rFonts w:hint="default"/>
        </w:rPr>
      </w:pPr>
      <w:r>
        <w:rPr>
          <w:rFonts w:hint="default"/>
        </w:rPr>
        <w:t>一、策略核心逻辑</w:t>
      </w:r>
    </w:p>
    <w:p w14:paraId="6757ABF4">
      <w:pPr>
        <w:bidi w:val="0"/>
        <w:ind w:firstLine="420" w:firstLineChars="0"/>
        <w:rPr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市场的每一次波动，背后都有资金的推动。而资金的流动，往往会在两个关键指标上留下痕迹：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成交量</w:t>
      </w:r>
      <w:r>
        <w:rPr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和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持仓量</w:t>
      </w:r>
      <w:r>
        <w:rPr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。</w:t>
      </w:r>
    </w:p>
    <w:p w14:paraId="0934624F">
      <w:pPr>
        <w:bidi w:val="0"/>
        <w:ind w:firstLine="420" w:firstLineChars="0"/>
      </w:pPr>
      <w:r>
        <w:rPr>
          <w:rFonts w:hint="eastAsia" w:ascii="Segoe UI" w:hAnsi="Segoe UI" w:eastAsia="宋体" w:cs="Segoe UI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本次截面</w:t>
      </w:r>
      <w:r>
        <w:rPr>
          <w:rFonts w:hint="default"/>
        </w:rPr>
        <w:t>策略的核心思想是：当大量资金持续涌入某个品种时，往往会推动趋势形成。我们通过以下两步捕捉信号：</w:t>
      </w:r>
    </w:p>
    <w:p w14:paraId="38CB7760">
      <w:pPr>
        <w:bidi w:val="0"/>
      </w:pPr>
      <w:r>
        <w:rPr>
          <w:rFonts w:hint="eastAsia"/>
          <w:lang w:val="en-US" w:eastAsia="zh-CN"/>
        </w:rPr>
        <w:t>因子一、</w:t>
      </w:r>
      <w:r>
        <w:rPr>
          <w:rFonts w:hint="eastAsia"/>
          <w:lang w:eastAsia="zh-CN"/>
        </w:rPr>
        <w:t>voleffect</w:t>
      </w:r>
      <w:r>
        <w:rPr>
          <w:rFonts w:hint="default"/>
        </w:rPr>
        <w:t>的设计灵感来源于经典的效率比率（Efficiency Ratio, ER），但其创新点在于引入成交量维度，形成三重过滤机制：</w:t>
      </w:r>
    </w:p>
    <w:p w14:paraId="48EA0C3C">
      <w:pPr>
        <w:bidi w:val="0"/>
      </w:pPr>
      <w:r>
        <w:rPr>
          <w:rFonts w:hint="eastAsia"/>
          <w:lang w:val="en-US" w:eastAsia="zh-CN"/>
        </w:rPr>
        <w:t>1、</w:t>
      </w:r>
      <w:r>
        <w:rPr>
          <w:rFonts w:hint="default"/>
        </w:rPr>
        <w:t>趋势方向过滤</w:t>
      </w:r>
    </w:p>
    <w:p w14:paraId="2DE1A4E3">
      <w:pPr>
        <w:bidi w:val="0"/>
      </w:pPr>
      <w:r>
        <w:rPr>
          <w:rFonts w:hint="default"/>
        </w:rPr>
        <w:t>NetChg &gt; 0：价格上涨趋势，</w:t>
      </w:r>
      <w:r>
        <w:rPr>
          <w:rFonts w:hint="eastAsia"/>
          <w:lang w:eastAsia="zh-CN"/>
        </w:rPr>
        <w:t>voleffect</w:t>
      </w:r>
      <w:r>
        <w:rPr>
          <w:rFonts w:hint="default"/>
        </w:rPr>
        <w:t>为正。</w:t>
      </w:r>
    </w:p>
    <w:p w14:paraId="2A90517D">
      <w:pPr>
        <w:bidi w:val="0"/>
      </w:pPr>
      <w:r>
        <w:rPr>
          <w:rFonts w:hint="default"/>
        </w:rPr>
        <w:t>NetChg &lt; 0：价格下跌趋势，</w:t>
      </w:r>
      <w:r>
        <w:rPr>
          <w:rFonts w:hint="eastAsia"/>
          <w:lang w:eastAsia="zh-CN"/>
        </w:rPr>
        <w:t>voleffect</w:t>
      </w:r>
      <w:r>
        <w:rPr>
          <w:rFonts w:hint="default"/>
        </w:rPr>
        <w:t>为负。</w:t>
      </w:r>
    </w:p>
    <w:p w14:paraId="5A3A98A5">
      <w:pPr>
        <w:bidi w:val="0"/>
      </w:pPr>
      <w:r>
        <w:rPr>
          <w:rFonts w:hint="eastAsia"/>
          <w:lang w:val="en-US" w:eastAsia="zh-CN"/>
        </w:rPr>
        <w:t>2、</w:t>
      </w:r>
      <w:r>
        <w:rPr>
          <w:rFonts w:hint="default"/>
        </w:rPr>
        <w:t>趋势质量过滤</w:t>
      </w:r>
    </w:p>
    <w:p w14:paraId="79922154">
      <w:pPr>
        <w:bidi w:val="0"/>
      </w:pPr>
      <w:r>
        <w:rPr>
          <w:rFonts w:hint="eastAsia"/>
          <w:lang w:eastAsia="zh-CN"/>
        </w:rPr>
        <w:t>voleffect</w:t>
      </w:r>
      <w:r>
        <w:rPr>
          <w:rFonts w:hint="default"/>
        </w:rPr>
        <w:t>的绝对值大小：反映趋势的“效率”。</w:t>
      </w:r>
    </w:p>
    <w:p w14:paraId="09F6A121">
      <w:pPr>
        <w:bidi w:val="0"/>
      </w:pPr>
      <w:r>
        <w:rPr>
          <w:rFonts w:hint="default"/>
        </w:rPr>
        <w:t>若价格持续单向变动（如连续上涨），则NetChg≈TotChg，表明趋势高效。</w:t>
      </w:r>
    </w:p>
    <w:p w14:paraId="3C495BBA">
      <w:pPr>
        <w:bidi w:val="0"/>
      </w:pPr>
      <w:r>
        <w:rPr>
          <w:rFonts w:hint="default"/>
        </w:rPr>
        <w:t>若价格来回震荡，则NetChg≈0，</w:t>
      </w:r>
      <w:r>
        <w:rPr>
          <w:rFonts w:hint="eastAsia"/>
          <w:lang w:eastAsia="zh-CN"/>
        </w:rPr>
        <w:t>voleffect</w:t>
      </w:r>
      <w:r>
        <w:rPr>
          <w:rFonts w:hint="default"/>
        </w:rPr>
        <w:t>趋近0，表明趋势低效。</w:t>
      </w:r>
    </w:p>
    <w:p w14:paraId="52CC8700">
      <w:pPr>
        <w:bidi w:val="0"/>
      </w:pPr>
      <w:r>
        <w:rPr>
          <w:rFonts w:hint="eastAsia"/>
          <w:lang w:val="en-US" w:eastAsia="zh-CN"/>
        </w:rPr>
        <w:t>3、</w:t>
      </w:r>
      <w:r>
        <w:rPr>
          <w:rFonts w:hint="default"/>
        </w:rPr>
        <w:t>成交量验证</w:t>
      </w:r>
    </w:p>
    <w:p w14:paraId="7B14133D">
      <w:pPr>
        <w:bidi w:val="0"/>
        <w:rPr>
          <w:rFonts w:hint="default"/>
        </w:rPr>
      </w:pPr>
      <w:r>
        <w:rPr>
          <w:rFonts w:hint="default"/>
        </w:rPr>
        <w:t>Vol乘数：高成交量下的趋势信号被放大，避免“假突破”干扰。</w:t>
      </w:r>
    </w:p>
    <w:p w14:paraId="3EB46D51">
      <w:pPr>
        <w:bidi w:val="0"/>
        <w:rPr>
          <w:rFonts w:hint="default"/>
        </w:rPr>
      </w:pPr>
    </w:p>
    <w:p w14:paraId="6FBB53D5">
      <w:pPr>
        <w:bidi w:val="0"/>
      </w:pPr>
      <w:r>
        <w:drawing>
          <wp:inline distT="0" distB="0" distL="114300" distR="114300">
            <wp:extent cx="4448175" cy="428625"/>
            <wp:effectExtent l="0" t="0" r="9525" b="9525"/>
            <wp:docPr id="1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4173B">
      <w:pPr>
        <w:bidi w:val="0"/>
        <w:rPr>
          <w:rFonts w:hint="default" w:ascii="Segoe UI" w:hAnsi="Segoe UI" w:cs="Segoe UI" w:eastAsiaTheme="minorEastAsia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因子二、同样基于</w:t>
      </w:r>
      <w:r>
        <w:rPr>
          <w:rFonts w:hint="default"/>
        </w:rPr>
        <w:t>效率比率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用持仓量的变化验证</w:t>
      </w:r>
    </w:p>
    <w:p w14:paraId="3717BF17">
      <w:pPr>
        <w:bidi w:val="0"/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</w:pPr>
      <w:r>
        <w:drawing>
          <wp:inline distT="0" distB="0" distL="114300" distR="114300">
            <wp:extent cx="4629150" cy="447675"/>
            <wp:effectExtent l="0" t="0" r="0" b="9525"/>
            <wp:docPr id="1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A49C7">
      <w:pPr>
        <w:bidi w:val="0"/>
      </w:pPr>
    </w:p>
    <w:p w14:paraId="3F4E1C9F">
      <w:pPr>
        <w:bidi w:val="0"/>
      </w:pPr>
    </w:p>
    <w:p w14:paraId="28928B9E">
      <w:pPr>
        <w:bidi w:val="0"/>
        <w:rPr>
          <w:rFonts w:hint="default"/>
        </w:rPr>
      </w:pPr>
      <w:r>
        <w:pict>
          <v:rect id="_x0000_i1026" o:spt="1" style="height:1.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F879B79">
      <w:pPr>
        <w:bidi w:val="0"/>
        <w:rPr>
          <w:rFonts w:hint="default"/>
        </w:rPr>
      </w:pPr>
      <w:r>
        <w:rPr>
          <w:rFonts w:hint="default"/>
        </w:rPr>
        <w:t>二、信号生成：标准化与加权融合</w:t>
      </w:r>
    </w:p>
    <w:p w14:paraId="66C8A839">
      <w:pPr>
        <w:bidi w:val="0"/>
        <w:ind w:firstLine="420" w:firstLineChars="0"/>
        <w:rPr>
          <w:rFonts w:hint="default"/>
        </w:rPr>
      </w:pPr>
      <w:r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在截面策略中，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因子标准化</w:t>
      </w:r>
      <w:r>
        <w:rPr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是非常重要的步骤。因为不同因子的量纲和取值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范围可能差异很大（例如，持仓量变化率可能是百分比，而</w:t>
      </w:r>
      <w:r>
        <w:rPr>
          <w:rFonts w:hint="eastAsia"/>
          <w:b w:val="0"/>
          <w:bCs w:val="0"/>
          <w:lang w:val="en-US" w:eastAsia="zh-CN"/>
        </w:rPr>
        <w:t>成交量效应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是</w:t>
      </w:r>
      <w:r>
        <w:rPr>
          <w:rFonts w:hint="eastAsia" w:ascii="Segoe UI" w:hAnsi="Segoe UI" w:eastAsia="宋体" w:cs="Segoe UI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比率的乘数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），如果不进行标准化，因子加权时会存在偏差</w:t>
      </w:r>
      <w:r>
        <w:rPr>
          <w:rFonts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</w:rPr>
        <w:t>。为了消除这些差异对策略</w:t>
      </w:r>
      <w:r>
        <w:rPr>
          <w:rFonts w:hint="eastAsia" w:ascii="Segoe UI" w:hAnsi="Segoe UI" w:eastAsia="宋体" w:cs="Segoe UI"/>
          <w:b w:val="0"/>
          <w:bCs w:val="0"/>
          <w:i w:val="0"/>
          <w:iCs w:val="0"/>
          <w:caps w:val="0"/>
          <w:color w:val="404040"/>
          <w:spacing w:val="0"/>
          <w:sz w:val="24"/>
          <w:szCs w:val="24"/>
          <w:lang w:val="en-US" w:eastAsia="zh-CN"/>
        </w:rPr>
        <w:t>指标数据</w:t>
      </w:r>
      <w:r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的影响，我们对原始指标进行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Z-Score标准化</w:t>
      </w:r>
      <w:r>
        <w:rPr>
          <w:rFonts w:hint="default"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处理</w:t>
      </w:r>
      <w:r>
        <w:rPr>
          <w:rFonts w:hint="default"/>
        </w:rPr>
        <w:t>：</w:t>
      </w:r>
    </w:p>
    <w:p w14:paraId="77DE3A02">
      <w:pPr>
        <w:numPr>
          <w:ilvl w:val="0"/>
          <w:numId w:val="1"/>
        </w:numPr>
        <w:bidi w:val="0"/>
      </w:pPr>
      <w:r>
        <w:t>计算均值 μ</w:t>
      </w:r>
      <w:r>
        <w:rPr>
          <w:rFonts w:hint="default"/>
        </w:rPr>
        <w:t>：</w:t>
      </w:r>
      <w:r>
        <w:drawing>
          <wp:inline distT="0" distB="0" distL="114300" distR="114300">
            <wp:extent cx="1238250" cy="723900"/>
            <wp:effectExtent l="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BA9AB">
      <w:pPr>
        <w:numPr>
          <w:ilvl w:val="0"/>
          <w:numId w:val="1"/>
        </w:numPr>
        <w:bidi w:val="0"/>
        <w:rPr>
          <w:rFonts w:hint="default"/>
        </w:rPr>
      </w:pPr>
      <w:r>
        <w:t>计算标准差 σ</w:t>
      </w:r>
      <w:r>
        <w:rPr>
          <w:rFonts w:hint="default"/>
        </w:rPr>
        <w:t>：</w:t>
      </w:r>
      <w:r>
        <w:drawing>
          <wp:inline distT="0" distB="0" distL="114300" distR="114300">
            <wp:extent cx="1990725" cy="800100"/>
            <wp:effectExtent l="0" t="0" r="9525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CA0C0">
      <w:pPr>
        <w:numPr>
          <w:ilvl w:val="0"/>
          <w:numId w:val="1"/>
        </w:numPr>
        <w:bidi w:val="0"/>
        <w:rPr>
          <w:rFonts w:hint="default"/>
        </w:rPr>
      </w:pPr>
      <w:r>
        <w:t>计算 Z-score</w:t>
      </w:r>
      <w:r>
        <w:rPr>
          <w:rFonts w:hint="default"/>
        </w:rPr>
        <w:t>：</w:t>
      </w:r>
      <w:r>
        <w:drawing>
          <wp:inline distT="0" distB="0" distL="114300" distR="114300">
            <wp:extent cx="1104900" cy="514350"/>
            <wp:effectExtent l="0" t="0" r="0" b="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08252">
      <w:pPr>
        <w:numPr>
          <w:ilvl w:val="0"/>
          <w:numId w:val="0"/>
        </w:numPr>
        <w:bidi w:val="0"/>
        <w:rPr>
          <w:rFonts w:hint="default"/>
        </w:rPr>
      </w:pPr>
    </w:p>
    <w:p w14:paraId="6CA09465">
      <w:pPr>
        <w:bidi w:val="0"/>
        <w:rPr>
          <w:rFonts w:hint="default"/>
        </w:rPr>
      </w:pPr>
      <w:r>
        <w:rPr>
          <w:rFonts w:ascii="Segoe UI" w:hAnsi="Segoe UI" w:eastAsia="Segoe UI" w:cs="Segoe UI"/>
          <w:i w:val="0"/>
          <w:iCs w:val="0"/>
          <w:caps w:val="0"/>
          <w:color w:val="404040"/>
          <w:spacing w:val="0"/>
          <w:sz w:val="24"/>
          <w:szCs w:val="24"/>
        </w:rPr>
        <w:t>接下来，我们将两个信号通过加权方式融合，生成综合得分</w:t>
      </w:r>
      <w:r>
        <w:rPr>
          <w:rFonts w:hint="eastAsia" w:ascii="Segoe UI" w:hAnsi="Segoe UI" w:eastAsia="宋体" w:cs="Segoe UI"/>
          <w:i w:val="0"/>
          <w:iCs w:val="0"/>
          <w:caps w:val="0"/>
          <w:color w:val="404040"/>
          <w:spacing w:val="0"/>
          <w:sz w:val="24"/>
          <w:szCs w:val="24"/>
          <w:lang w:eastAsia="zh-CN"/>
        </w:rPr>
        <w:t>。</w:t>
      </w:r>
      <w:r>
        <w:rPr>
          <w:rFonts w:hint="default"/>
        </w:rPr>
        <w:t>最终得分通过加权融合两个信号，参数weights可调节偏好：</w:t>
      </w:r>
    </w:p>
    <w:p w14:paraId="41F812AF">
      <w:pPr>
        <w:bidi w:val="0"/>
      </w:pPr>
      <w:r>
        <w:drawing>
          <wp:inline distT="0" distB="0" distL="114300" distR="114300">
            <wp:extent cx="5273675" cy="349885"/>
            <wp:effectExtent l="0" t="0" r="3175" b="12065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6F5F5">
      <w:pPr>
        <w:bidi w:val="0"/>
        <w:rPr>
          <w:rFonts w:hint="default" w:eastAsiaTheme="minorEastAsia"/>
          <w:lang w:val="en-US" w:eastAsia="zh-CN"/>
        </w:rPr>
      </w:pPr>
      <w:r>
        <w:t>其中，weights</w:t>
      </w:r>
      <w:r>
        <w:rPr>
          <w:rFonts w:hint="default"/>
        </w:rPr>
        <w:t>是一个可调节的参数，用于控制持仓量变化率和</w:t>
      </w:r>
      <w:r>
        <w:rPr>
          <w:rFonts w:hint="eastAsia"/>
          <w:lang w:eastAsia="zh-CN"/>
        </w:rPr>
        <w:t>成交量效应</w:t>
      </w:r>
      <w:r>
        <w:rPr>
          <w:rFonts w:hint="default"/>
        </w:rPr>
        <w:t>的权重。</w:t>
      </w:r>
      <w:r>
        <w:rPr>
          <w:rFonts w:hint="eastAsia"/>
          <w:lang w:val="en-US" w:eastAsia="zh-CN"/>
        </w:rPr>
        <w:t>并且score分数取10周期平均数进行平滑。</w:t>
      </w:r>
    </w:p>
    <w:p w14:paraId="39ABEE5C">
      <w:pPr>
        <w:bidi w:val="0"/>
        <w:rPr>
          <w:rFonts w:hint="default"/>
        </w:rPr>
      </w:pPr>
    </w:p>
    <w:p w14:paraId="1650C264">
      <w:pPr>
        <w:bidi w:val="0"/>
        <w:rPr>
          <w:rFonts w:hint="default" w:eastAsiaTheme="minorEastAsia"/>
          <w:lang w:val="en-US" w:eastAsia="zh-CN"/>
        </w:rPr>
      </w:pPr>
      <w:r>
        <w:rPr>
          <w:rFonts w:hint="default"/>
        </w:rPr>
        <w:t>三、交易规则：</w:t>
      </w:r>
      <w:r>
        <w:rPr>
          <w:rFonts w:hint="eastAsia"/>
          <w:lang w:val="en-US" w:eastAsia="zh-CN"/>
        </w:rPr>
        <w:t>经典纯截面策略的“</w:t>
      </w:r>
      <w:r>
        <w:rPr>
          <w:rFonts w:hint="default"/>
        </w:rPr>
        <w:t>强者恒强，弱者恒弱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思想</w:t>
      </w:r>
    </w:p>
    <w:p w14:paraId="49570EA8">
      <w:pPr>
        <w:bidi w:val="0"/>
      </w:pPr>
      <w:r>
        <w:rPr>
          <w:rFonts w:hint="default"/>
        </w:rPr>
        <w:t>策略每日执行以下操作：</w:t>
      </w:r>
    </w:p>
    <w:p w14:paraId="05DAEF38">
      <w:pPr>
        <w:bidi w:val="0"/>
      </w:pPr>
      <w:r>
        <w:rPr>
          <w:rFonts w:hint="default"/>
        </w:rPr>
        <w:t>排序筛选：按得分从高到低排序所有品种。</w:t>
      </w:r>
    </w:p>
    <w:p w14:paraId="7A00BB51">
      <w:pPr>
        <w:bidi w:val="0"/>
      </w:pPr>
      <w:r>
        <w:rPr>
          <w:rFonts w:hint="default"/>
        </w:rPr>
        <w:t>头寸分配：</w:t>
      </w:r>
    </w:p>
    <w:p w14:paraId="3450FE79">
      <w:pPr>
        <w:bidi w:val="0"/>
      </w:pPr>
      <w:r>
        <w:rPr>
          <w:rFonts w:hint="default"/>
        </w:rPr>
        <w:t>做多第一名：得分最高品种，认为资金持续流入。</w:t>
      </w:r>
    </w:p>
    <w:p w14:paraId="5324C56A">
      <w:pPr>
        <w:bidi w:val="0"/>
      </w:pPr>
      <w:r>
        <w:rPr>
          <w:rFonts w:hint="default"/>
        </w:rPr>
        <w:t>做空最后一名：得分最低品种，预期资金撤离。</w:t>
      </w:r>
    </w:p>
    <w:p w14:paraId="42529DCC">
      <w:pPr>
        <w:bidi w:val="0"/>
      </w:pPr>
      <w:r>
        <w:rPr>
          <w:rFonts w:hint="default"/>
        </w:rPr>
        <w:t>风险控制：其余品种平仓，避免无效持仓。</w:t>
      </w:r>
    </w:p>
    <w:p w14:paraId="28A0C579">
      <w:pPr>
        <w:bidi w:val="0"/>
      </w:pPr>
    </w:p>
    <w:p w14:paraId="373E73B3">
      <w:pPr>
        <w:bidi w:val="0"/>
        <w:rPr>
          <w:rFonts w:hint="default"/>
        </w:rPr>
      </w:pPr>
      <w:r>
        <w:rPr>
          <w:rFonts w:hint="default"/>
        </w:rPr>
        <w:pict>
          <v:rect id="_x0000_i1027" o:spt="1" style="height:1.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A4A3261">
      <w:pPr>
        <w:bidi w:val="0"/>
        <w:rPr>
          <w:rFonts w:hint="default"/>
        </w:rPr>
      </w:pPr>
      <w:r>
        <w:rPr>
          <w:rFonts w:hint="default"/>
        </w:rPr>
        <w:t>四、策略优势与</w:t>
      </w:r>
      <w:r>
        <w:rPr>
          <w:rFonts w:hint="eastAsia"/>
          <w:lang w:val="en-US" w:eastAsia="zh-CN"/>
        </w:rPr>
        <w:t>迭代</w:t>
      </w:r>
      <w:r>
        <w:rPr>
          <w:rFonts w:hint="default"/>
        </w:rPr>
        <w:t>方向</w:t>
      </w:r>
    </w:p>
    <w:p w14:paraId="05BBE966">
      <w:pPr>
        <w:bidi w:val="0"/>
      </w:pPr>
      <w:r>
        <w:rPr>
          <w:rFonts w:hint="default"/>
        </w:rPr>
        <w:t>优势：</w:t>
      </w:r>
    </w:p>
    <w:p w14:paraId="296C0FE1">
      <w:pPr>
        <w:bidi w:val="0"/>
      </w:pPr>
      <w:r>
        <w:rPr>
          <w:rFonts w:hint="default"/>
        </w:rPr>
        <w:t>多品种对冲：同时做多最强、做空最弱，降低单边风险。</w:t>
      </w:r>
    </w:p>
    <w:p w14:paraId="2901482F">
      <w:pPr>
        <w:bidi w:val="0"/>
      </w:pPr>
      <w:r>
        <w:rPr>
          <w:rFonts w:hint="default"/>
        </w:rPr>
        <w:t>动态适应：标准化处理使策略适用于不同波动率的品种。</w:t>
      </w:r>
    </w:p>
    <w:p w14:paraId="25031B3D">
      <w:pPr>
        <w:bidi w:val="0"/>
      </w:pPr>
      <w:r>
        <w:rPr>
          <w:rFonts w:hint="eastAsia"/>
          <w:lang w:val="en-US" w:eastAsia="zh-CN"/>
        </w:rPr>
        <w:t>迭代</w:t>
      </w:r>
      <w:r>
        <w:rPr>
          <w:rFonts w:hint="default"/>
        </w:rPr>
        <w:t>方向：</w:t>
      </w:r>
    </w:p>
    <w:p w14:paraId="6F0C8BD9">
      <w:pPr>
        <w:bidi w:val="0"/>
      </w:pPr>
      <w:r>
        <w:rPr>
          <w:rFonts w:hint="eastAsia"/>
          <w:lang w:val="en-US" w:eastAsia="zh-CN"/>
        </w:rPr>
        <w:t>叠加择时策略；</w:t>
      </w:r>
    </w:p>
    <w:p w14:paraId="4203F39B">
      <w:pPr>
        <w:bidi w:val="0"/>
        <w:rPr>
          <w:rFonts w:hint="eastAsia" w:eastAsiaTheme="minorEastAsia"/>
          <w:lang w:eastAsia="zh-CN"/>
        </w:rPr>
      </w:pPr>
      <w:r>
        <w:rPr>
          <w:rFonts w:hint="default"/>
        </w:rPr>
        <w:t>动态权重调整：根据市场状态调节weights参数</w:t>
      </w:r>
      <w:r>
        <w:rPr>
          <w:rFonts w:hint="eastAsia"/>
          <w:lang w:eastAsia="zh-CN"/>
        </w:rPr>
        <w:t>。</w:t>
      </w:r>
    </w:p>
    <w:p w14:paraId="5E50E7FF">
      <w:pPr>
        <w:bidi w:val="0"/>
      </w:pPr>
    </w:p>
    <w:p w14:paraId="34CEDECB">
      <w:pPr>
        <w:bidi w:val="0"/>
        <w:rPr>
          <w:rFonts w:hint="default"/>
        </w:rPr>
      </w:pPr>
      <w:r>
        <w:rPr>
          <w:rFonts w:hint="default"/>
        </w:rPr>
        <w:pict>
          <v:rect id="_x0000_i1028" o:spt="1" style="height:1.5pt;width:432pt;" fillcolor="#40404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13031D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策略绩效：</w:t>
      </w:r>
    </w:p>
    <w:p w14:paraId="72363D12">
      <w:pPr>
        <w:bidi w:val="0"/>
      </w:pPr>
    </w:p>
    <w:p w14:paraId="64FA4394">
      <w:pPr>
        <w:bidi w:val="0"/>
      </w:pPr>
    </w:p>
    <w:p w14:paraId="72B1152B">
      <w:pPr>
        <w:bidi w:val="0"/>
      </w:pPr>
    </w:p>
    <w:p w14:paraId="40D37FB5">
      <w:pPr>
        <w:bidi w:val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2433955"/>
            <wp:effectExtent l="0" t="0" r="6350" b="444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3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2517775"/>
            <wp:effectExtent l="0" t="0" r="4445" b="1587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1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D64665">
      <w:pPr>
        <w:bidi w:val="0"/>
        <w:rPr>
          <w:rFonts w:hint="default"/>
        </w:rPr>
      </w:pPr>
      <w:r>
        <w:rPr>
          <w:rFonts w:hint="default"/>
        </w:rPr>
        <w:t>结语</w:t>
      </w:r>
    </w:p>
    <w:p w14:paraId="547A00F7">
      <w:pPr>
        <w:bidi w:val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本次VIP19截面策略总结：</w:t>
      </w:r>
    </w:p>
    <w:p w14:paraId="0BD4889B">
      <w:pPr>
        <w:numPr>
          <w:ilvl w:val="0"/>
          <w:numId w:val="2"/>
        </w:numPr>
        <w:bidi w:val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tbquant的横截面策略很容易信号闪烁，经过反复测试不同截面框架后，选取了在tbquant中稳定的横截面框架，可用于之后的横截面策略优化、迭代。</w:t>
      </w:r>
    </w:p>
    <w:p w14:paraId="158F378E">
      <w:pPr>
        <w:numPr>
          <w:ilvl w:val="0"/>
          <w:numId w:val="2"/>
        </w:numPr>
        <w:bidi w:val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因子的标准化，在多因子策略中是很重要的概念，本策略引入标准化算法流程，更科学的基于统计概率做量化。</w:t>
      </w:r>
    </w:p>
    <w:p w14:paraId="2DFF4268">
      <w:pPr>
        <w:numPr>
          <w:ilvl w:val="0"/>
          <w:numId w:val="2"/>
        </w:numPr>
        <w:bidi w:val="0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次工作区中品种的分类，因为本次策略是基于资金流的截面因子，所以对品种按交易时间进行分类，分为“日盘”“夜盘”“股债”“深夜盘”。然后工作区中各策略单元的首个商品都是“tbf000”，该图层不进行交易，是为了配合公式算法对齐数据，避免信号闪烁。</w:t>
      </w:r>
    </w:p>
    <w:p w14:paraId="4EA33F46">
      <w:pPr>
        <w:numPr>
          <w:ilvl w:val="0"/>
          <w:numId w:val="0"/>
        </w:numPr>
        <w:bidi w:val="0"/>
        <w:rPr>
          <w:rFonts w:hint="default"/>
          <w:lang w:val="en-US" w:eastAsia="zh-CN"/>
        </w:rPr>
      </w:pPr>
    </w:p>
    <w:p w14:paraId="0D29261B">
      <w:pPr>
        <w:bidi w:val="0"/>
        <w:ind w:firstLine="420" w:firstLineChars="0"/>
        <w:rPr>
          <w:rFonts w:hint="default"/>
        </w:rPr>
      </w:pPr>
      <w:r>
        <w:rPr>
          <w:rFonts w:hint="default"/>
        </w:rPr>
        <w:t>该策略通过追踪“聪明钱”的流向，将复杂的市场行为转化为可量化的信号。量化交易的本质，正是从噪声中提取秩序——而这正是资金流动告诉我们的故事。</w:t>
      </w:r>
    </w:p>
    <w:p w14:paraId="5BED3088"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0E713"/>
    <w:multiLevelType w:val="singleLevel"/>
    <w:tmpl w:val="0B50E71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644AA5"/>
    <w:multiLevelType w:val="singleLevel"/>
    <w:tmpl w:val="70644A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41454"/>
    <w:rsid w:val="13570330"/>
    <w:rsid w:val="188E7D50"/>
    <w:rsid w:val="2D595FCE"/>
    <w:rsid w:val="38DD62AA"/>
    <w:rsid w:val="4A530748"/>
    <w:rsid w:val="4F441454"/>
    <w:rsid w:val="56B70654"/>
    <w:rsid w:val="6E6E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1311</Words>
  <Characters>1454</Characters>
  <Lines>0</Lines>
  <Paragraphs>0</Paragraphs>
  <TotalTime>367</TotalTime>
  <ScaleCrop>false</ScaleCrop>
  <LinksUpToDate>false</LinksUpToDate>
  <CharactersWithSpaces>1463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2025-02-07T10:29:00Z</dcterms:created>
  <dc:creator>WPS_1476019037</dc:creator>
  <cp:lastModifiedBy>WPS_1476019037</cp:lastModifiedBy>
  <dcterms:modified xsi:type="dcterms:W3CDTF">2025-02-21T03:17:37Z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179089956CAA4E6ABC15960623571E55_13</vt:lpwstr>
  </property>
  <property fmtid="{D5CDD505-2E9C-101B-9397-08002B2CF9AE}" pid="4" name="KSOTemplateDocerSaveRecord">
    <vt:lpwstr>eyJoZGlkIjoiNGEyMzllMmQ2OGYwOWViMDRjNmQ5NmE4ZmM4YmRjOWMiLCJ1c2VySWQiOiIyNDQzODMwMDUifQ==</vt:lpwstr>
  </property>
</Properties>
</file>